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58A3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1E6B674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8"/>
          <w:szCs w:val="48"/>
          <w:lang w:val="en-US" w:eastAsia="zh-CN"/>
        </w:rPr>
      </w:pPr>
    </w:p>
    <w:p w14:paraId="52E2D1F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3EA2128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通辽市科协“老科协科普活动经费”项目支出绩效评价报告</w:t>
      </w:r>
    </w:p>
    <w:p w14:paraId="3E59834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5E7564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73D8735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113B5EF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44"/>
          <w:szCs w:val="44"/>
          <w:lang w:val="en-US" w:eastAsia="zh-CN"/>
        </w:rPr>
      </w:pPr>
    </w:p>
    <w:p w14:paraId="4E443411">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方正小标宋简体" w:hAnsi="方正小标宋简体" w:eastAsia="方正小标宋简体" w:cs="方正小标宋简体"/>
          <w:sz w:val="44"/>
          <w:szCs w:val="44"/>
          <w:lang w:val="en-US" w:eastAsia="zh-CN"/>
        </w:rPr>
      </w:pPr>
    </w:p>
    <w:p w14:paraId="7F60E4F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方正小标宋简体" w:hAnsi="方正小标宋简体" w:eastAsia="方正小标宋简体" w:cs="方正小标宋简体"/>
          <w:sz w:val="32"/>
          <w:szCs w:val="32"/>
          <w:lang w:val="en-US" w:eastAsia="zh-CN"/>
        </w:rPr>
      </w:pPr>
    </w:p>
    <w:p w14:paraId="67A2FA2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部门名称：</w:t>
      </w:r>
      <w:r>
        <w:rPr>
          <w:rFonts w:hint="eastAsia" w:ascii="仿宋_GB2312" w:hAnsi="仿宋_GB2312" w:eastAsia="仿宋_GB2312" w:cs="仿宋_GB2312"/>
          <w:b w:val="0"/>
          <w:bCs w:val="0"/>
          <w:sz w:val="32"/>
          <w:szCs w:val="32"/>
          <w:lang w:val="en-US" w:eastAsia="zh-CN"/>
        </w:rPr>
        <w:t>通辽市科学技术协会</w:t>
      </w:r>
    </w:p>
    <w:p w14:paraId="024B0B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14:paraId="4145B593">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val="0"/>
          <w:bCs w:val="0"/>
          <w:sz w:val="32"/>
          <w:szCs w:val="32"/>
          <w:lang w:val="en-US" w:eastAsia="zh-CN"/>
        </w:rPr>
      </w:pPr>
    </w:p>
    <w:p w14:paraId="73A73F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val="0"/>
          <w:bCs w:val="0"/>
          <w:sz w:val="32"/>
          <w:szCs w:val="32"/>
          <w:lang w:val="en-US" w:eastAsia="zh-CN"/>
        </w:rPr>
      </w:pPr>
    </w:p>
    <w:p w14:paraId="2B429DD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2025年9月23日</w:t>
      </w:r>
    </w:p>
    <w:p w14:paraId="7D970B1B">
      <w:pPr>
        <w:keepNext w:val="0"/>
        <w:keepLines w:val="0"/>
        <w:pageBreakBefore w:val="0"/>
        <w:numPr>
          <w:ilvl w:val="0"/>
          <w:numId w:val="0"/>
        </w:numPr>
        <w:kinsoku/>
        <w:wordWrap/>
        <w:overflowPunct/>
        <w:topLinePunct w:val="0"/>
        <w:bidi w:val="0"/>
        <w:adjustRightInd/>
        <w:snapToGrid/>
        <w:spacing w:line="240" w:lineRule="auto"/>
        <w:textAlignment w:val="auto"/>
        <w:rPr>
          <w:rFonts w:hint="eastAsia" w:ascii="黑体" w:hAnsi="黑体" w:eastAsia="黑体" w:cs="黑体"/>
          <w:sz w:val="32"/>
          <w:szCs w:val="32"/>
          <w:lang w:val="en-US" w:eastAsia="zh-CN"/>
        </w:rPr>
      </w:pPr>
    </w:p>
    <w:p w14:paraId="68DBAEA0">
      <w:pPr>
        <w:keepNext w:val="0"/>
        <w:keepLines w:val="0"/>
        <w:pageBreakBefore w:val="0"/>
        <w:numPr>
          <w:ilvl w:val="0"/>
          <w:numId w:val="0"/>
        </w:numPr>
        <w:kinsoku/>
        <w:wordWrap/>
        <w:overflowPunct/>
        <w:topLinePunct w:val="0"/>
        <w:bidi w:val="0"/>
        <w:adjustRightInd/>
        <w:snapToGrid/>
        <w:spacing w:line="240" w:lineRule="auto"/>
        <w:ind w:firstLine="640" w:firstLineChars="200"/>
        <w:textAlignment w:val="auto"/>
        <w:rPr>
          <w:rFonts w:hint="eastAsia" w:ascii="黑体" w:hAnsi="黑体" w:eastAsia="黑体" w:cs="黑体"/>
          <w:sz w:val="32"/>
          <w:szCs w:val="32"/>
          <w:lang w:val="en-US" w:eastAsia="zh-CN"/>
        </w:rPr>
        <w:sectPr>
          <w:pgSz w:w="11906" w:h="16838"/>
          <w:pgMar w:top="1440" w:right="1800" w:bottom="1440" w:left="1800" w:header="851" w:footer="992" w:gutter="0"/>
          <w:pgNumType w:fmt="decimal"/>
          <w:cols w:space="425" w:num="1"/>
          <w:docGrid w:type="lines" w:linePitch="312" w:charSpace="0"/>
        </w:sectPr>
      </w:pPr>
    </w:p>
    <w:p w14:paraId="79F4277C">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1、基本情况</w:t>
      </w:r>
    </w:p>
    <w:p w14:paraId="6A361EAC">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（1）项目概况</w:t>
      </w:r>
    </w:p>
    <w:p w14:paraId="6BFF531B">
      <w:pPr>
        <w:spacing w:line="620" w:lineRule="exact"/>
        <w:ind w:firstLine="562" w:firstLineChars="200"/>
        <w:rPr>
          <w:rFonts w:hint="eastAsia" w:ascii="仿宋_GB2312" w:hAnsi="仿宋_GB2312" w:eastAsia="仿宋_GB2312" w:cs="仿宋_GB2312"/>
          <w:color w:val="auto"/>
          <w:sz w:val="28"/>
          <w:szCs w:val="28"/>
          <w:lang w:val="en-US" w:eastAsia="zh-CN"/>
        </w:rPr>
      </w:pPr>
      <w:r>
        <w:rPr>
          <w:rFonts w:hint="eastAsia" w:ascii="仿宋_GB2312" w:hAnsi="仿宋_GB2312" w:eastAsia="仿宋_GB2312" w:cs="仿宋_GB2312"/>
          <w:b/>
          <w:bCs/>
          <w:color w:val="auto"/>
          <w:sz w:val="28"/>
          <w:szCs w:val="28"/>
          <w:lang w:val="en-US" w:eastAsia="zh-CN"/>
        </w:rPr>
        <w:t>项目背景：</w:t>
      </w:r>
      <w:r>
        <w:rPr>
          <w:rFonts w:hint="eastAsia" w:ascii="仿宋_GB2312" w:hAnsi="仿宋_GB2312" w:eastAsia="仿宋_GB2312" w:cs="仿宋_GB2312"/>
          <w:color w:val="auto"/>
          <w:sz w:val="28"/>
          <w:szCs w:val="28"/>
          <w:lang w:eastAsia="zh-CN"/>
        </w:rPr>
        <w:t>为了深入贯彻落实</w:t>
      </w:r>
      <w:r>
        <w:rPr>
          <w:rFonts w:hint="eastAsia" w:ascii="仿宋_GB2312" w:hAnsi="仿宋_GB2312" w:eastAsia="仿宋_GB2312" w:cs="仿宋_GB2312"/>
          <w:color w:val="auto"/>
          <w:sz w:val="28"/>
          <w:szCs w:val="28"/>
          <w:lang w:val="en-US" w:eastAsia="zh-CN"/>
        </w:rPr>
        <w:t>《中华人民共和国科学技术普及法》</w:t>
      </w:r>
      <w:r>
        <w:rPr>
          <w:rFonts w:hint="eastAsia" w:ascii="仿宋_GB2312" w:hAnsi="仿宋_GB2312" w:eastAsia="仿宋_GB2312" w:cs="仿宋_GB2312"/>
          <w:color w:val="auto"/>
          <w:sz w:val="28"/>
          <w:szCs w:val="28"/>
          <w:lang w:eastAsia="zh-CN"/>
        </w:rPr>
        <w:t>《全民科学素质行动规划纲要（2021-2035年）》</w:t>
      </w:r>
      <w:r>
        <w:rPr>
          <w:rFonts w:hint="eastAsia" w:ascii="仿宋_GB2312" w:hAnsi="仿宋_GB2312" w:eastAsia="仿宋_GB2312" w:cs="仿宋_GB2312"/>
          <w:color w:val="auto"/>
          <w:sz w:val="28"/>
          <w:szCs w:val="28"/>
          <w:lang w:val="en-US" w:eastAsia="zh-CN"/>
        </w:rPr>
        <w:t>《内蒙古自治区科学技术普及条例》的精神，</w:t>
      </w:r>
      <w:r>
        <w:rPr>
          <w:rFonts w:hint="eastAsia" w:ascii="仿宋_GB2312" w:hAnsi="仿宋_GB2312" w:eastAsia="仿宋_GB2312" w:cs="仿宋_GB2312"/>
          <w:color w:val="auto"/>
          <w:sz w:val="28"/>
          <w:szCs w:val="28"/>
          <w:lang w:eastAsia="zh-CN"/>
        </w:rPr>
        <w:t>支持老科协开展科普培训、小科技园项目示范试种等各项活动，</w:t>
      </w:r>
      <w:r>
        <w:rPr>
          <w:rFonts w:hint="eastAsia" w:ascii="仿宋_GB2312" w:hAnsi="仿宋_GB2312" w:eastAsia="仿宋_GB2312" w:cs="仿宋_GB2312"/>
          <w:color w:val="auto"/>
          <w:sz w:val="28"/>
          <w:szCs w:val="28"/>
          <w:lang w:val="en-US" w:eastAsia="zh-CN"/>
        </w:rPr>
        <w:t>2024年安排市本级财政预算22.8万元作为老科协科普活动经费。</w:t>
      </w:r>
    </w:p>
    <w:p w14:paraId="1E65414A">
      <w:pPr>
        <w:keepNext w:val="0"/>
        <w:keepLines w:val="0"/>
        <w:pageBreakBefore w:val="0"/>
        <w:kinsoku/>
        <w:wordWrap/>
        <w:overflowPunct/>
        <w:topLinePunct w:val="0"/>
        <w:bidi w:val="0"/>
        <w:adjustRightInd/>
        <w:snapToGrid/>
        <w:spacing w:line="240" w:lineRule="auto"/>
        <w:ind w:firstLine="562" w:firstLineChars="200"/>
        <w:textAlignment w:val="auto"/>
        <w:rPr>
          <w:rFonts w:hint="eastAsia" w:ascii="仿宋_GB2312" w:hAnsi="仿宋" w:eastAsia="仿宋_GB2312" w:cs="仿宋"/>
          <w:sz w:val="28"/>
          <w:szCs w:val="28"/>
          <w:lang w:val="en-US" w:eastAsia="zh-CN"/>
        </w:rPr>
      </w:pPr>
      <w:r>
        <w:rPr>
          <w:rFonts w:hint="eastAsia" w:ascii="仿宋_GB2312" w:hAnsi="仿宋_GB2312" w:eastAsia="仿宋_GB2312" w:cs="仿宋_GB2312"/>
          <w:b/>
          <w:bCs/>
          <w:color w:val="auto"/>
          <w:sz w:val="28"/>
          <w:szCs w:val="28"/>
          <w:lang w:val="en-US" w:eastAsia="zh-CN"/>
        </w:rPr>
        <w:t>主要内容：</w:t>
      </w:r>
      <w:r>
        <w:rPr>
          <w:rFonts w:hint="eastAsia" w:ascii="仿宋_GB2312" w:hAnsi="仿宋" w:eastAsia="仿宋_GB2312" w:cs="仿宋"/>
          <w:sz w:val="28"/>
          <w:szCs w:val="28"/>
          <w:lang w:val="en-US" w:eastAsia="zh-CN"/>
        </w:rPr>
        <w:t>老科协科普活动经费</w:t>
      </w:r>
      <w:r>
        <w:rPr>
          <w:rFonts w:hint="eastAsia" w:ascii="仿宋_GB2312" w:hAnsi="仿宋_GB2312" w:eastAsia="仿宋_GB2312" w:cs="仿宋_GB2312"/>
          <w:b w:val="0"/>
          <w:bCs w:val="0"/>
          <w:color w:val="auto"/>
          <w:sz w:val="28"/>
          <w:szCs w:val="28"/>
          <w:lang w:val="en-US" w:eastAsia="zh-CN"/>
        </w:rPr>
        <w:t>，主要用于</w:t>
      </w:r>
      <w:r>
        <w:rPr>
          <w:rFonts w:hint="eastAsia" w:ascii="仿宋_GB2312" w:hAnsi="仿宋_GB2312" w:eastAsia="仿宋_GB2312" w:cs="仿宋_GB2312"/>
          <w:color w:val="auto"/>
          <w:sz w:val="28"/>
          <w:szCs w:val="28"/>
          <w:lang w:eastAsia="zh-CN"/>
        </w:rPr>
        <w:t>支持老科协开展科普培训、小科技园项目示范试种</w:t>
      </w:r>
      <w:r>
        <w:rPr>
          <w:rFonts w:hint="eastAsia" w:ascii="仿宋_GB2312" w:hAnsi="仿宋" w:eastAsia="仿宋_GB2312" w:cs="仿宋"/>
          <w:sz w:val="28"/>
          <w:szCs w:val="28"/>
          <w:lang w:val="en-US" w:eastAsia="zh-CN"/>
        </w:rPr>
        <w:t>等各项活动，为老科协常务人员发放津贴。</w:t>
      </w:r>
    </w:p>
    <w:p w14:paraId="662012F9">
      <w:pPr>
        <w:keepNext w:val="0"/>
        <w:keepLines w:val="0"/>
        <w:pageBreakBefore w:val="0"/>
        <w:kinsoku/>
        <w:wordWrap/>
        <w:overflowPunct/>
        <w:topLinePunct w:val="0"/>
        <w:bidi w:val="0"/>
        <w:adjustRightInd/>
        <w:snapToGrid/>
        <w:spacing w:line="240" w:lineRule="auto"/>
        <w:ind w:firstLine="562" w:firstLineChars="200"/>
        <w:textAlignment w:val="auto"/>
        <w:rPr>
          <w:rFonts w:hint="default" w:ascii="仿宋_GB2312" w:hAnsi="仿宋" w:eastAsia="仿宋_GB2312" w:cs="仿宋"/>
          <w:color w:val="auto"/>
          <w:sz w:val="28"/>
          <w:szCs w:val="28"/>
          <w:lang w:val="en-US" w:eastAsia="zh-CN"/>
        </w:rPr>
      </w:pPr>
      <w:r>
        <w:rPr>
          <w:rFonts w:hint="eastAsia" w:ascii="仿宋_GB2312" w:hAnsi="仿宋_GB2312" w:eastAsia="仿宋_GB2312" w:cs="仿宋_GB2312"/>
          <w:b/>
          <w:bCs/>
          <w:color w:val="auto"/>
          <w:sz w:val="28"/>
          <w:szCs w:val="28"/>
          <w:lang w:val="en-US" w:eastAsia="zh-CN"/>
        </w:rPr>
        <w:t>实施情况：</w:t>
      </w:r>
      <w:r>
        <w:rPr>
          <w:rFonts w:hint="eastAsia" w:ascii="仿宋_GB2312" w:hAnsi="仿宋" w:eastAsia="仿宋_GB2312" w:cs="仿宋"/>
          <w:sz w:val="28"/>
          <w:szCs w:val="28"/>
          <w:lang w:val="en-US" w:eastAsia="zh-CN"/>
        </w:rPr>
        <w:t>通辽老科学技术工作者协会全年陆续开</w:t>
      </w:r>
      <w:r>
        <w:rPr>
          <w:rFonts w:hint="eastAsia" w:ascii="仿宋_GB2312" w:hAnsi="仿宋" w:eastAsia="仿宋_GB2312" w:cs="仿宋"/>
          <w:color w:val="auto"/>
          <w:sz w:val="28"/>
          <w:szCs w:val="28"/>
          <w:lang w:val="en-US" w:eastAsia="zh-CN"/>
        </w:rPr>
        <w:t>展农村牧区科普培训、社区科普大学培训、小科技园示范试种项目等各项工作，均实现预期目标。</w:t>
      </w:r>
    </w:p>
    <w:p w14:paraId="46FAB3EC">
      <w:pPr>
        <w:keepNext w:val="0"/>
        <w:keepLines w:val="0"/>
        <w:pageBreakBefore w:val="0"/>
        <w:kinsoku/>
        <w:wordWrap/>
        <w:overflowPunct/>
        <w:topLinePunct w:val="0"/>
        <w:bidi w:val="0"/>
        <w:adjustRightInd/>
        <w:snapToGrid/>
        <w:spacing w:line="240" w:lineRule="auto"/>
        <w:ind w:firstLine="562" w:firstLineChars="200"/>
        <w:textAlignment w:val="auto"/>
        <w:rPr>
          <w:rFonts w:hint="eastAsia" w:ascii="仿宋_GB2312" w:hAnsi="仿宋" w:eastAsia="仿宋_GB2312" w:cs="仿宋"/>
          <w:color w:val="auto"/>
          <w:sz w:val="28"/>
          <w:szCs w:val="28"/>
          <w:lang w:val="en-US" w:eastAsia="zh-CN"/>
        </w:rPr>
      </w:pPr>
      <w:r>
        <w:rPr>
          <w:rFonts w:hint="eastAsia" w:ascii="仿宋_GB2312" w:hAnsi="仿宋_GB2312" w:eastAsia="仿宋_GB2312" w:cs="仿宋_GB2312"/>
          <w:b/>
          <w:bCs/>
          <w:color w:val="auto"/>
          <w:sz w:val="28"/>
          <w:szCs w:val="28"/>
          <w:lang w:val="en-US" w:eastAsia="zh-CN"/>
        </w:rPr>
        <w:t>资金投入：</w:t>
      </w:r>
      <w:r>
        <w:rPr>
          <w:rFonts w:hint="eastAsia" w:ascii="仿宋_GB2312" w:hAnsi="仿宋" w:eastAsia="仿宋_GB2312" w:cs="仿宋"/>
          <w:color w:val="auto"/>
          <w:sz w:val="28"/>
          <w:szCs w:val="28"/>
          <w:lang w:eastAsia="zh-CN"/>
        </w:rPr>
        <w:t>财政预算</w:t>
      </w:r>
      <w:r>
        <w:rPr>
          <w:rFonts w:hint="eastAsia" w:ascii="仿宋_GB2312" w:hAnsi="仿宋" w:eastAsia="仿宋_GB2312" w:cs="仿宋"/>
          <w:color w:val="auto"/>
          <w:sz w:val="28"/>
          <w:szCs w:val="28"/>
          <w:lang w:val="en-US" w:eastAsia="zh-CN"/>
        </w:rPr>
        <w:t>资</w:t>
      </w:r>
      <w:r>
        <w:rPr>
          <w:rFonts w:hint="eastAsia" w:ascii="仿宋_GB2312" w:hAnsi="仿宋" w:eastAsia="仿宋_GB2312" w:cs="仿宋"/>
          <w:color w:val="auto"/>
          <w:sz w:val="28"/>
          <w:szCs w:val="28"/>
          <w:lang w:eastAsia="zh-CN"/>
        </w:rPr>
        <w:t>金安排</w:t>
      </w:r>
      <w:r>
        <w:rPr>
          <w:rFonts w:hint="eastAsia" w:ascii="仿宋_GB2312" w:hAnsi="仿宋" w:eastAsia="仿宋_GB2312" w:cs="仿宋"/>
          <w:color w:val="auto"/>
          <w:sz w:val="28"/>
          <w:szCs w:val="28"/>
          <w:lang w:val="en-US" w:eastAsia="zh-CN"/>
        </w:rPr>
        <w:t>22.8万元，实际拨付财政资金22.76万元。</w:t>
      </w:r>
      <w:r>
        <w:rPr>
          <w:rFonts w:hint="eastAsia" w:ascii="仿宋_GB2312" w:hAnsi="仿宋" w:eastAsia="仿宋_GB2312" w:cs="仿宋"/>
          <w:color w:val="auto"/>
          <w:sz w:val="28"/>
          <w:szCs w:val="28"/>
          <w:lang w:eastAsia="zh-CN"/>
        </w:rPr>
        <w:t>通辽</w:t>
      </w:r>
      <w:r>
        <w:rPr>
          <w:rFonts w:hint="eastAsia" w:ascii="仿宋_GB2312" w:hAnsi="仿宋" w:eastAsia="仿宋_GB2312" w:cs="仿宋"/>
          <w:color w:val="auto"/>
          <w:sz w:val="28"/>
          <w:szCs w:val="28"/>
          <w:lang w:val="en-US" w:eastAsia="zh-CN"/>
        </w:rPr>
        <w:t>老</w:t>
      </w:r>
      <w:r>
        <w:rPr>
          <w:rFonts w:hint="eastAsia" w:ascii="仿宋_GB2312" w:hAnsi="仿宋" w:eastAsia="仿宋_GB2312" w:cs="仿宋"/>
          <w:color w:val="auto"/>
          <w:sz w:val="28"/>
          <w:szCs w:val="28"/>
          <w:lang w:eastAsia="zh-CN"/>
        </w:rPr>
        <w:t>科学技术</w:t>
      </w:r>
      <w:r>
        <w:rPr>
          <w:rFonts w:hint="eastAsia" w:ascii="仿宋_GB2312" w:hAnsi="仿宋" w:eastAsia="仿宋_GB2312" w:cs="仿宋"/>
          <w:color w:val="auto"/>
          <w:sz w:val="28"/>
          <w:szCs w:val="28"/>
          <w:lang w:val="en-US" w:eastAsia="zh-CN"/>
        </w:rPr>
        <w:t>工作者</w:t>
      </w:r>
      <w:r>
        <w:rPr>
          <w:rFonts w:hint="eastAsia" w:ascii="仿宋_GB2312" w:hAnsi="仿宋" w:eastAsia="仿宋_GB2312" w:cs="仿宋"/>
          <w:color w:val="auto"/>
          <w:sz w:val="28"/>
          <w:szCs w:val="28"/>
          <w:lang w:eastAsia="zh-CN"/>
        </w:rPr>
        <w:t>协会</w:t>
      </w:r>
      <w:r>
        <w:rPr>
          <w:rFonts w:hint="eastAsia" w:ascii="仿宋_GB2312" w:hAnsi="仿宋" w:eastAsia="仿宋_GB2312" w:cs="仿宋"/>
          <w:color w:val="auto"/>
          <w:sz w:val="28"/>
          <w:szCs w:val="28"/>
          <w:lang w:val="en-US" w:eastAsia="zh-CN"/>
        </w:rPr>
        <w:t>使用此经费。</w:t>
      </w:r>
    </w:p>
    <w:p w14:paraId="7787FF25">
      <w:pPr>
        <w:keepNext w:val="0"/>
        <w:keepLines w:val="0"/>
        <w:pageBreakBefore w:val="0"/>
        <w:kinsoku/>
        <w:wordWrap/>
        <w:overflowPunct/>
        <w:topLinePunct w:val="0"/>
        <w:bidi w:val="0"/>
        <w:adjustRightInd/>
        <w:snapToGrid/>
        <w:spacing w:line="240" w:lineRule="auto"/>
        <w:ind w:firstLine="562" w:firstLineChars="200"/>
        <w:textAlignment w:val="auto"/>
        <w:rPr>
          <w:rFonts w:hint="eastAsia" w:ascii="仿宋_GB2312" w:hAnsi="仿宋" w:eastAsia="仿宋_GB2312" w:cs="仿宋"/>
          <w:color w:val="auto"/>
          <w:sz w:val="28"/>
          <w:szCs w:val="28"/>
        </w:rPr>
      </w:pPr>
      <w:r>
        <w:rPr>
          <w:rFonts w:hint="eastAsia" w:ascii="仿宋_GB2312" w:hAnsi="仿宋_GB2312" w:eastAsia="仿宋_GB2312" w:cs="仿宋_GB2312"/>
          <w:b/>
          <w:bCs/>
          <w:color w:val="auto"/>
          <w:sz w:val="28"/>
          <w:szCs w:val="28"/>
          <w:lang w:val="en-US" w:eastAsia="zh-CN"/>
        </w:rPr>
        <w:t>使用情况：</w:t>
      </w:r>
      <w:r>
        <w:rPr>
          <w:rFonts w:hint="eastAsia" w:ascii="仿宋_GB2312" w:hAnsi="仿宋" w:eastAsia="仿宋_GB2312" w:cs="仿宋"/>
          <w:color w:val="auto"/>
          <w:sz w:val="28"/>
          <w:szCs w:val="28"/>
          <w:lang w:val="en-US" w:eastAsia="zh-CN"/>
        </w:rPr>
        <w:t>所有项目</w:t>
      </w:r>
      <w:r>
        <w:rPr>
          <w:rFonts w:hint="eastAsia" w:ascii="仿宋_GB2312" w:hAnsi="仿宋" w:eastAsia="仿宋_GB2312" w:cs="仿宋"/>
          <w:sz w:val="28"/>
          <w:szCs w:val="28"/>
          <w:lang w:val="en-US" w:eastAsia="zh-CN"/>
        </w:rPr>
        <w:t>经费全部</w:t>
      </w:r>
      <w:r>
        <w:rPr>
          <w:rFonts w:hint="eastAsia" w:ascii="仿宋_GB2312" w:hAnsi="仿宋" w:eastAsia="仿宋_GB2312" w:cs="仿宋"/>
          <w:color w:val="auto"/>
          <w:sz w:val="28"/>
          <w:szCs w:val="28"/>
          <w:lang w:val="en-US" w:eastAsia="zh-CN"/>
        </w:rPr>
        <w:t>支出，用于老科协安排的各项科普活动。</w:t>
      </w:r>
    </w:p>
    <w:p w14:paraId="3C72401C">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default"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（2）项目年度预算绩效目标</w:t>
      </w:r>
    </w:p>
    <w:p w14:paraId="0A3D6B64">
      <w:pPr>
        <w:keepNext w:val="0"/>
        <w:keepLines w:val="0"/>
        <w:pageBreakBefore w:val="0"/>
        <w:kinsoku/>
        <w:wordWrap/>
        <w:overflowPunct/>
        <w:topLinePunct w:val="0"/>
        <w:bidi w:val="0"/>
        <w:adjustRightInd/>
        <w:snapToGrid/>
        <w:spacing w:line="240" w:lineRule="auto"/>
        <w:ind w:firstLine="560" w:firstLineChars="200"/>
        <w:textAlignment w:val="auto"/>
        <w:rPr>
          <w:rFonts w:hint="eastAsia" w:ascii="仿宋_GB2312" w:hAnsi="仿宋" w:eastAsia="仿宋_GB2312" w:cs="仿宋"/>
          <w:color w:val="auto"/>
          <w:sz w:val="28"/>
          <w:szCs w:val="28"/>
          <w:lang w:val="en-US" w:eastAsia="zh-CN"/>
        </w:rPr>
      </w:pPr>
      <w:r>
        <w:rPr>
          <w:rFonts w:hint="eastAsia" w:ascii="仿宋_GB2312" w:hAnsi="仿宋" w:eastAsia="仿宋_GB2312" w:cs="仿宋"/>
          <w:color w:val="auto"/>
          <w:sz w:val="28"/>
          <w:szCs w:val="28"/>
          <w:lang w:val="en-US" w:eastAsia="zh-CN"/>
        </w:rPr>
        <w:t>为充分发挥部门单位职能职责，提高单位职能服务水平，完成年度工作重点任务，达成以下目标： 1.农村牧区科普培训60场次；2.社区科普大学培训80场次；3.小科技园项目示范试种2000亩；4.发放津补贴老科协常务人员8人；5.年度工作计划完成率100%；6.年度工作成本22.76万元。</w:t>
      </w:r>
    </w:p>
    <w:p w14:paraId="31070079">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2、绩效评价工作开展情况</w:t>
      </w:r>
    </w:p>
    <w:p w14:paraId="7E435F95">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（1）绩效评价目的、对象和范围</w:t>
      </w:r>
    </w:p>
    <w:p w14:paraId="3592EEBF">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 w:eastAsia="仿宋_GB2312" w:cs="仿宋"/>
          <w:sz w:val="28"/>
          <w:szCs w:val="28"/>
          <w:lang w:eastAsia="zh-CN"/>
        </w:rPr>
      </w:pPr>
      <w:r>
        <w:rPr>
          <w:rFonts w:hint="eastAsia" w:ascii="仿宋_GB2312" w:hAnsi="仿宋" w:eastAsia="仿宋_GB2312" w:cs="仿宋"/>
          <w:sz w:val="28"/>
          <w:szCs w:val="28"/>
          <w:lang w:eastAsia="zh-CN"/>
        </w:rPr>
        <w:t>为全面实施预算绩效管理，细化规范项目支出绩效评价工作业务流程，切实提高绩效评价工作质量和水平。根据当年财政下达的一般公共预算，结合</w:t>
      </w:r>
      <w:r>
        <w:rPr>
          <w:rFonts w:hint="eastAsia" w:ascii="仿宋_GB2312" w:hAnsi="仿宋" w:eastAsia="仿宋_GB2312" w:cs="仿宋"/>
          <w:sz w:val="28"/>
          <w:szCs w:val="28"/>
          <w:lang w:val="en-US" w:eastAsia="zh-CN"/>
        </w:rPr>
        <w:t>老科协工作</w:t>
      </w:r>
      <w:r>
        <w:rPr>
          <w:rFonts w:hint="eastAsia" w:ascii="仿宋_GB2312" w:hAnsi="仿宋" w:eastAsia="仿宋_GB2312" w:cs="仿宋"/>
          <w:sz w:val="28"/>
          <w:szCs w:val="28"/>
          <w:lang w:eastAsia="zh-CN"/>
        </w:rPr>
        <w:t>实际，对</w:t>
      </w:r>
      <w:r>
        <w:rPr>
          <w:rFonts w:hint="eastAsia" w:ascii="仿宋_GB2312" w:hAnsi="仿宋" w:eastAsia="仿宋_GB2312" w:cs="仿宋"/>
          <w:sz w:val="28"/>
          <w:szCs w:val="28"/>
          <w:lang w:val="en-US" w:eastAsia="zh-CN"/>
        </w:rPr>
        <w:t>老科协科普活动经费</w:t>
      </w:r>
      <w:r>
        <w:rPr>
          <w:rFonts w:hint="eastAsia" w:ascii="仿宋_GB2312" w:hAnsi="仿宋" w:eastAsia="仿宋_GB2312" w:cs="仿宋"/>
          <w:sz w:val="28"/>
          <w:szCs w:val="28"/>
          <w:lang w:eastAsia="zh-CN"/>
        </w:rPr>
        <w:t>项目支出</w:t>
      </w:r>
      <w:r>
        <w:rPr>
          <w:rFonts w:hint="eastAsia" w:ascii="仿宋_GB2312" w:hAnsi="仿宋" w:eastAsia="仿宋_GB2312" w:cs="仿宋"/>
          <w:sz w:val="28"/>
          <w:szCs w:val="28"/>
          <w:lang w:val="en-US" w:eastAsia="zh-CN"/>
        </w:rPr>
        <w:t>开展</w:t>
      </w:r>
      <w:r>
        <w:rPr>
          <w:rFonts w:hint="eastAsia" w:ascii="仿宋_GB2312" w:hAnsi="仿宋" w:eastAsia="仿宋_GB2312" w:cs="仿宋"/>
          <w:sz w:val="28"/>
          <w:szCs w:val="28"/>
          <w:lang w:eastAsia="zh-CN"/>
        </w:rPr>
        <w:t>绩效评价。</w:t>
      </w:r>
    </w:p>
    <w:p w14:paraId="4DA9BFE3">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（2）绩效评价原则、评价指标体系、评价方法等。</w:t>
      </w:r>
    </w:p>
    <w:p w14:paraId="3119B7C9">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562" w:firstLineChars="200"/>
        <w:jc w:val="both"/>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评价原则：</w:t>
      </w:r>
    </w:p>
    <w:p w14:paraId="5C20249C">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科学公正。绩效评价应当运用科学合理的方法，按照规范的程序，对项目绩效进行客观、公正的反映;</w:t>
      </w:r>
    </w:p>
    <w:p w14:paraId="59D4AF0F">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统筹兼顾。部门评价在单位自评的基础上开展；</w:t>
      </w:r>
    </w:p>
    <w:p w14:paraId="4D8D40D0">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激励约束。绩效评价结果与预算安排、政策调整、改进管理实质性挂钩，体现奖优罚劣和激励相容导向，有效要安排、低效要压减、无效要问责；</w:t>
      </w:r>
    </w:p>
    <w:p w14:paraId="7DF87C5D">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公开透明。绩效评价结果依法依规公开，自觉接受社会监督。</w:t>
      </w:r>
    </w:p>
    <w:p w14:paraId="3DAE5131">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b/>
          <w:bCs/>
          <w:sz w:val="28"/>
          <w:szCs w:val="28"/>
          <w:lang w:val="en-US" w:eastAsia="zh-CN"/>
        </w:rPr>
        <w:t>评价指标体系：</w:t>
      </w:r>
      <w:r>
        <w:rPr>
          <w:rFonts w:hint="eastAsia" w:ascii="仿宋_GB2312" w:hAnsi="仿宋_GB2312" w:eastAsia="仿宋_GB2312" w:cs="仿宋_GB2312"/>
          <w:sz w:val="28"/>
          <w:szCs w:val="28"/>
          <w:lang w:val="en-US" w:eastAsia="zh-CN"/>
        </w:rPr>
        <w:t>采用通辽市本级项目支出绩效评价细则附件2的表格，结合部门实际，采用分点赋分制，确定优良等次。</w:t>
      </w:r>
    </w:p>
    <w:p w14:paraId="6998532A">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p>
    <w:tbl>
      <w:tblPr>
        <w:tblStyle w:val="5"/>
        <w:tblW w:w="9172"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662"/>
        <w:gridCol w:w="644"/>
        <w:gridCol w:w="1095"/>
        <w:gridCol w:w="2385"/>
        <w:gridCol w:w="4386"/>
      </w:tblGrid>
      <w:tr w14:paraId="54E2B78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2D064D8">
            <w:pPr>
              <w:pStyle w:val="4"/>
              <w:widowControl/>
              <w:spacing w:before="0" w:beforeAutospacing="0" w:after="0" w:afterAutospacing="0"/>
              <w:jc w:val="center"/>
              <w:rPr>
                <w:rFonts w:cs="Calibri"/>
                <w:sz w:val="20"/>
                <w:szCs w:val="20"/>
              </w:rPr>
            </w:pPr>
            <w:r>
              <w:rPr>
                <w:rFonts w:hint="eastAsia" w:ascii="仿宋_GB2312" w:hAnsi="仿宋" w:eastAsia="仿宋_GB2312" w:cs="仿宋_GB2312"/>
                <w:b/>
                <w:sz w:val="20"/>
                <w:szCs w:val="20"/>
              </w:rPr>
              <w:t>一级</w:t>
            </w:r>
            <w:r>
              <w:rPr>
                <w:rFonts w:hint="eastAsia" w:ascii="仿宋" w:hAnsi="仿宋" w:eastAsia="仿宋" w:cs="仿宋"/>
                <w:b/>
                <w:sz w:val="20"/>
                <w:szCs w:val="20"/>
              </w:rPr>
              <w:br w:type="textWrapping"/>
            </w:r>
            <w:r>
              <w:rPr>
                <w:rFonts w:hint="eastAsia" w:ascii="仿宋_GB2312" w:hAnsi="仿宋" w:eastAsia="仿宋_GB2312" w:cs="仿宋_GB2312"/>
                <w:b/>
                <w:sz w:val="20"/>
                <w:szCs w:val="20"/>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4BEB859B">
            <w:pPr>
              <w:pStyle w:val="4"/>
              <w:widowControl/>
              <w:spacing w:before="0" w:beforeAutospacing="0" w:after="0" w:afterAutospacing="0"/>
              <w:jc w:val="center"/>
              <w:rPr>
                <w:rFonts w:cs="Calibri"/>
                <w:sz w:val="20"/>
                <w:szCs w:val="20"/>
              </w:rPr>
            </w:pPr>
            <w:r>
              <w:rPr>
                <w:rFonts w:hint="eastAsia" w:ascii="仿宋_GB2312" w:hAnsi="仿宋" w:eastAsia="仿宋_GB2312" w:cs="仿宋_GB2312"/>
                <w:b/>
                <w:sz w:val="20"/>
                <w:szCs w:val="20"/>
              </w:rPr>
              <w:t>二级</w:t>
            </w:r>
            <w:r>
              <w:rPr>
                <w:rFonts w:hint="eastAsia" w:ascii="仿宋" w:hAnsi="仿宋" w:eastAsia="仿宋" w:cs="仿宋"/>
                <w:b/>
                <w:sz w:val="20"/>
                <w:szCs w:val="20"/>
              </w:rPr>
              <w:br w:type="textWrapping"/>
            </w:r>
            <w:r>
              <w:rPr>
                <w:rFonts w:hint="eastAsia" w:ascii="仿宋_GB2312" w:hAnsi="仿宋" w:eastAsia="仿宋_GB2312" w:cs="仿宋_GB2312"/>
                <w:b/>
                <w:sz w:val="20"/>
                <w:szCs w:val="20"/>
              </w:rPr>
              <w:t>指标</w:t>
            </w:r>
          </w:p>
        </w:tc>
        <w:tc>
          <w:tcPr>
            <w:tcW w:w="109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03CC4AE7">
            <w:pPr>
              <w:pStyle w:val="4"/>
              <w:widowControl/>
              <w:spacing w:before="0" w:beforeAutospacing="0" w:after="0" w:afterAutospacing="0"/>
              <w:jc w:val="center"/>
              <w:rPr>
                <w:rFonts w:cs="Calibri"/>
                <w:sz w:val="20"/>
                <w:szCs w:val="20"/>
              </w:rPr>
            </w:pPr>
            <w:r>
              <w:rPr>
                <w:rFonts w:hint="eastAsia" w:ascii="仿宋_GB2312" w:hAnsi="仿宋" w:eastAsia="仿宋_GB2312" w:cs="仿宋_GB2312"/>
                <w:b/>
                <w:sz w:val="20"/>
                <w:szCs w:val="20"/>
              </w:rPr>
              <w:t>三级指标</w:t>
            </w:r>
          </w:p>
        </w:tc>
        <w:tc>
          <w:tcPr>
            <w:tcW w:w="2385"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6C09A14A">
            <w:pPr>
              <w:pStyle w:val="4"/>
              <w:widowControl/>
              <w:spacing w:before="0" w:beforeAutospacing="0" w:after="0" w:afterAutospacing="0"/>
              <w:jc w:val="center"/>
              <w:rPr>
                <w:rFonts w:cs="Calibri"/>
                <w:sz w:val="20"/>
                <w:szCs w:val="20"/>
              </w:rPr>
            </w:pPr>
            <w:r>
              <w:rPr>
                <w:rFonts w:hint="eastAsia" w:ascii="仿宋_GB2312" w:hAnsi="仿宋" w:eastAsia="仿宋_GB2312" w:cs="仿宋_GB2312"/>
                <w:b/>
                <w:sz w:val="20"/>
                <w:szCs w:val="20"/>
              </w:rPr>
              <w:t>指标解释</w:t>
            </w:r>
          </w:p>
        </w:tc>
        <w:tc>
          <w:tcPr>
            <w:tcW w:w="4386"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72BF728D">
            <w:pPr>
              <w:pStyle w:val="4"/>
              <w:widowControl/>
              <w:spacing w:before="0" w:beforeAutospacing="0" w:after="0" w:afterAutospacing="0"/>
              <w:jc w:val="center"/>
              <w:rPr>
                <w:rFonts w:cs="Calibri"/>
                <w:sz w:val="20"/>
                <w:szCs w:val="20"/>
              </w:rPr>
            </w:pPr>
            <w:r>
              <w:rPr>
                <w:rFonts w:hint="eastAsia" w:ascii="仿宋_GB2312" w:hAnsi="仿宋" w:eastAsia="仿宋_GB2312" w:cs="仿宋_GB2312"/>
                <w:b/>
                <w:sz w:val="20"/>
                <w:szCs w:val="20"/>
              </w:rPr>
              <w:t>指标说明</w:t>
            </w:r>
          </w:p>
        </w:tc>
      </w:tr>
      <w:tr w14:paraId="5BBB50B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0EBD2BB">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360BCC4">
            <w:pPr>
              <w:pStyle w:val="4"/>
              <w:widowControl/>
              <w:spacing w:before="0" w:beforeAutospacing="0" w:after="0" w:afterAutospacing="0"/>
              <w:jc w:val="center"/>
              <w:rPr>
                <w:rFonts w:hint="eastAsia" w:ascii="仿宋_GB2312" w:hAnsi="仿宋" w:eastAsia="仿宋_GB2312" w:cs="仿宋_GB2312"/>
                <w:sz w:val="20"/>
                <w:szCs w:val="20"/>
              </w:rPr>
            </w:pPr>
            <w:r>
              <w:rPr>
                <w:rFonts w:hint="eastAsia" w:ascii="仿宋_GB2312" w:hAnsi="仿宋" w:eastAsia="仿宋_GB2312" w:cs="仿宋_GB2312"/>
                <w:sz w:val="20"/>
                <w:szCs w:val="20"/>
              </w:rPr>
              <w:t>项目</w:t>
            </w:r>
          </w:p>
          <w:p w14:paraId="7274BF31">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立项</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143888">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立项依据</w:t>
            </w:r>
          </w:p>
          <w:p w14:paraId="084E9200">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充分性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7F2690">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项目立项是否符合法律法规、相关政策、发展规划以及部门职责，用以反映和考核项目立项依据情况。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BA523C6">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①项目立项是否符合国家法律法规、国民经济发展规划和相关政策；</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②项目立项是否符合行业发展规划和政策要求；</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③项目立项是否与部门职责范围相符，属于部门履职所需；</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④项目是否属于公共财政支持范围，是否符合中央、地方事权支出责任划分原则；</w:t>
            </w:r>
          </w:p>
          <w:p w14:paraId="096C43D1">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_GB2312" w:eastAsia="仿宋_GB2312" w:cs="仿宋_GB2312"/>
                <w:sz w:val="20"/>
                <w:szCs w:val="20"/>
              </w:rPr>
              <w:t>⑤</w:t>
            </w:r>
            <w:r>
              <w:rPr>
                <w:rFonts w:hint="eastAsia" w:ascii="仿宋_GB2312" w:hAnsi="仿宋" w:eastAsia="仿宋_GB2312" w:cs="仿宋_GB2312"/>
                <w:sz w:val="20"/>
                <w:szCs w:val="20"/>
              </w:rPr>
              <w:t>项目是否与相关部门同类项目或部门内部相关项目重复。</w:t>
            </w:r>
          </w:p>
        </w:tc>
      </w:tr>
      <w:tr w14:paraId="318888A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5DF106F4">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D90EA0">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C94BCB">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立项程序规范性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58E9F1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项目申请、设立过程是否符合相关要求，用以反映和考核项目立项的规范情况。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542983">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08242D64">
            <w:pPr>
              <w:pStyle w:val="4"/>
              <w:widowControl/>
              <w:spacing w:before="0" w:beforeAutospacing="0" w:after="0" w:afterAutospacing="0" w:line="260" w:lineRule="atLeast"/>
              <w:ind w:left="105"/>
              <w:jc w:val="both"/>
              <w:rPr>
                <w:rFonts w:hint="eastAsia" w:ascii="仿宋_GB2312" w:eastAsia="仿宋_GB2312" w:cs="Calibri"/>
                <w:sz w:val="20"/>
                <w:szCs w:val="20"/>
              </w:rPr>
            </w:pPr>
            <w:r>
              <w:rPr>
                <w:rFonts w:hint="eastAsia" w:ascii="仿宋_GB2312" w:hAnsi="仿宋" w:eastAsia="仿宋_GB2312" w:cs="仿宋_GB2312"/>
                <w:sz w:val="20"/>
                <w:szCs w:val="20"/>
              </w:rPr>
              <w:t>①项目是否按照规定的程序申请设立；</w:t>
            </w:r>
          </w:p>
          <w:p w14:paraId="001B975C">
            <w:pPr>
              <w:pStyle w:val="4"/>
              <w:widowControl/>
              <w:spacing w:before="0" w:beforeAutospacing="0" w:after="0" w:afterAutospacing="0" w:line="260" w:lineRule="atLeast"/>
              <w:ind w:left="105"/>
              <w:jc w:val="both"/>
              <w:rPr>
                <w:rFonts w:hint="eastAsia" w:ascii="仿宋_GB2312" w:eastAsia="仿宋_GB2312" w:cs="Calibri"/>
                <w:sz w:val="20"/>
                <w:szCs w:val="20"/>
              </w:rPr>
            </w:pPr>
            <w:r>
              <w:rPr>
                <w:rFonts w:hint="eastAsia" w:ascii="仿宋_GB2312" w:hAnsi="仿宋" w:eastAsia="仿宋_GB2312" w:cs="仿宋_GB2312"/>
                <w:sz w:val="20"/>
                <w:szCs w:val="20"/>
              </w:rPr>
              <w:t>②审批文件、材料是否符合相关要求；</w:t>
            </w:r>
          </w:p>
          <w:p w14:paraId="4AE4B257">
            <w:pPr>
              <w:pStyle w:val="4"/>
              <w:widowControl/>
              <w:spacing w:before="0" w:beforeAutospacing="0" w:after="0" w:afterAutospacing="0" w:line="260" w:lineRule="atLeast"/>
              <w:ind w:left="105"/>
              <w:jc w:val="both"/>
              <w:rPr>
                <w:rFonts w:hint="eastAsia" w:ascii="仿宋_GB2312" w:eastAsia="仿宋_GB2312" w:cs="Calibri"/>
                <w:sz w:val="20"/>
                <w:szCs w:val="20"/>
              </w:rPr>
            </w:pPr>
            <w:r>
              <w:rPr>
                <w:rFonts w:hint="eastAsia" w:ascii="仿宋_GB2312" w:hAnsi="仿宋" w:eastAsia="仿宋_GB2312" w:cs="仿宋_GB2312"/>
                <w:sz w:val="20"/>
                <w:szCs w:val="20"/>
              </w:rPr>
              <w:t>③事前是否已经过必要的可行性研究、专家论证、风险评估、绩效评估、集体决策。</w:t>
            </w:r>
          </w:p>
        </w:tc>
      </w:tr>
      <w:tr w14:paraId="033A766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307A1D8">
            <w:pPr>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7DA48CC">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绩效</w:t>
            </w:r>
          </w:p>
          <w:p w14:paraId="68D40C9C">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目标</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EE81DC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绩效目标</w:t>
            </w:r>
          </w:p>
          <w:p w14:paraId="2EFA13F5">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31BADCB">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项目所设定的绩效目标是否依据充分，是否符合客观实际，用以反映和考核项目绩效目标与项目实施的相符情况。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86C93E6">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544CEF8D">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（如未设定预算绩效目标，也可考核其他工作任务目标）</w:t>
            </w:r>
          </w:p>
          <w:p w14:paraId="37768EDA">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①项目是否有绩效目标；</w:t>
            </w:r>
          </w:p>
          <w:p w14:paraId="7A2180FD">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②项目绩效目标与实际工作内容是否具有相关性；</w:t>
            </w:r>
          </w:p>
          <w:p w14:paraId="4DE2FE94">
            <w:pPr>
              <w:pStyle w:val="4"/>
              <w:widowControl/>
              <w:spacing w:before="0" w:beforeAutospacing="0" w:after="0" w:afterAutospacing="0" w:line="260" w:lineRule="atLeast"/>
              <w:ind w:left="105" w:right="105"/>
              <w:jc w:val="both"/>
              <w:rPr>
                <w:rFonts w:hint="eastAsia" w:ascii="仿宋_GB2312" w:hAnsi="仿宋" w:eastAsia="仿宋_GB2312" w:cs="仿宋_GB2312"/>
                <w:sz w:val="20"/>
                <w:szCs w:val="20"/>
              </w:rPr>
            </w:pPr>
            <w:r>
              <w:rPr>
                <w:rFonts w:hint="eastAsia" w:ascii="仿宋_GB2312" w:hAnsi="仿宋" w:eastAsia="仿宋_GB2312" w:cs="仿宋_GB2312"/>
                <w:sz w:val="20"/>
                <w:szCs w:val="20"/>
              </w:rPr>
              <w:t>③项目预期产出效益和效果是否符合正常的业绩水平；</w:t>
            </w:r>
          </w:p>
          <w:p w14:paraId="5A34C22E">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④是否与预算确定的项目投资额或资金量相匹配。</w:t>
            </w:r>
          </w:p>
        </w:tc>
      </w:tr>
      <w:tr w14:paraId="14D35E1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AB22474">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9C21483">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AB3BF08">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绩效指标</w:t>
            </w:r>
          </w:p>
          <w:p w14:paraId="01FA3998">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明确性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BE1BD3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依据绩效目标设定的绩效指标是否清晰、细化、可衡量等，用以反映和考核项目绩效目标的细化情况。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B20B51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①是否将项目绩效目标细化分解为具体的绩效指标；</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②是否通过清晰、可衡量的指标值予以体现；</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③是否与项目目标任务数或计划数相对应。</w:t>
            </w:r>
          </w:p>
        </w:tc>
      </w:tr>
      <w:tr w14:paraId="3B7569E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05AAFF4">
            <w:pPr>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01244D4">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资金</w:t>
            </w:r>
          </w:p>
          <w:p w14:paraId="7A15E61C">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投入</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03DAB2F">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预算编制</w:t>
            </w:r>
          </w:p>
          <w:p w14:paraId="32446798">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科学性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6BC261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项目预算编制是否经过科学论证、有明确标准，资金额度与年度目标是否相适应，用以反映和考核项目预算编制的科学性、合理性等情况。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7B4361">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45D70AEE">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①预算编制是否经过科学论证；</w:t>
            </w:r>
          </w:p>
          <w:p w14:paraId="2C79C38C">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②预算内容与项目内容是否匹配；</w:t>
            </w:r>
          </w:p>
          <w:p w14:paraId="6D0E4A51">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③预算额度测算依据是否充分，是否按照标准编制；</w:t>
            </w:r>
          </w:p>
          <w:p w14:paraId="39C23F1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④预算确定的项目投资额或资金量是否与工作任务相匹配。</w:t>
            </w:r>
          </w:p>
        </w:tc>
      </w:tr>
      <w:tr w14:paraId="1C58415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7AD7802">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EDC97E0">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16C032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资金分配</w:t>
            </w:r>
          </w:p>
          <w:p w14:paraId="6C45B7CA">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合理性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64CF04D">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项目预算资金分配是否有测算依据，与补助单位或地方实际是否相适应，用以反映和考核项目预算资金分配的科学性、合理性等情况。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18338E3">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735B6F2E">
            <w:pPr>
              <w:pStyle w:val="4"/>
              <w:widowControl/>
              <w:spacing w:before="0" w:beforeAutospacing="0" w:after="0" w:afterAutospacing="0" w:line="260" w:lineRule="atLeast"/>
              <w:ind w:right="105" w:firstLine="105"/>
              <w:jc w:val="both"/>
              <w:rPr>
                <w:rFonts w:hint="eastAsia" w:ascii="仿宋_GB2312" w:eastAsia="仿宋_GB2312" w:cs="Calibri"/>
                <w:sz w:val="20"/>
                <w:szCs w:val="20"/>
              </w:rPr>
            </w:pPr>
            <w:r>
              <w:rPr>
                <w:rFonts w:hint="eastAsia" w:ascii="仿宋_GB2312" w:hAnsi="仿宋" w:eastAsia="仿宋_GB2312" w:cs="仿宋_GB2312"/>
                <w:sz w:val="20"/>
                <w:szCs w:val="20"/>
              </w:rPr>
              <w:t>①预算资金分配依据是否充分；</w:t>
            </w:r>
          </w:p>
          <w:p w14:paraId="0B8A0F35">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②资金分配额度是否合理，与项目单位或地方实际是否相适应。</w:t>
            </w:r>
          </w:p>
        </w:tc>
      </w:tr>
      <w:tr w14:paraId="0BD35A21">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7C6E302F">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AD7964">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资金</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管理</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ED523C0">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资金</w:t>
            </w:r>
          </w:p>
          <w:p w14:paraId="64FB11D9">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到位率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ACD9F8B">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实际到位资金与预算资金的比率，用以反映和考核资金落实情况对项目实施的总体保障程度。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62CFD40">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资金到位率</w:t>
            </w:r>
            <w:r>
              <w:rPr>
                <w:rFonts w:hint="eastAsia" w:ascii="仿宋_GB2312" w:hAnsi="仿宋" w:eastAsia="仿宋_GB2312" w:cs="仿宋"/>
                <w:sz w:val="20"/>
                <w:szCs w:val="20"/>
              </w:rPr>
              <w:t>=（实际到位资金/预算资金）×100%。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实际到位资金：一定时期（本年度或项目期）内落实到具体项目的资金。</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预算资金：一定时期（本年度或项目期）内预算安排到具体项目的资金。</w:t>
            </w:r>
          </w:p>
        </w:tc>
      </w:tr>
      <w:tr w14:paraId="7BF467E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169C81CD">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BDAF4CE">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1A469CD">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预算</w:t>
            </w:r>
          </w:p>
          <w:p w14:paraId="31B73BC3">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执行率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C56A762">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项目预算资金是否按照计划执行，用以反映或考核项目预算执行情况。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746C2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预算执行率</w:t>
            </w:r>
            <w:r>
              <w:rPr>
                <w:rFonts w:hint="eastAsia" w:ascii="仿宋_GB2312" w:hAnsi="仿宋" w:eastAsia="仿宋_GB2312" w:cs="仿宋"/>
                <w:sz w:val="20"/>
                <w:szCs w:val="20"/>
              </w:rPr>
              <w:t>=（实际支出资金/实际到位资金）×100%。</w:t>
            </w:r>
          </w:p>
          <w:p w14:paraId="6C152801">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实际支出资金：一定时期（本年度或项目期）内项目实际拨付的资金。</w:t>
            </w:r>
          </w:p>
        </w:tc>
      </w:tr>
      <w:tr w14:paraId="4394EC4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8FCC1B3">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F42D27">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636FC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资金使用</w:t>
            </w:r>
          </w:p>
          <w:p w14:paraId="54B73C9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合规性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F5C96F">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项目资金使用是否符合相关的财务管理制度规定，用以反映和考核项目资金的规范运行情况。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9F1FD48">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37168787">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①是否符合国家财经法规和财务管理制度以及有关专项资金管理办法的规定；</w:t>
            </w:r>
          </w:p>
          <w:p w14:paraId="34DDA85A">
            <w:pPr>
              <w:pStyle w:val="4"/>
              <w:widowControl/>
              <w:spacing w:before="0" w:beforeAutospacing="0" w:after="0" w:afterAutospacing="0" w:line="260" w:lineRule="atLeast"/>
              <w:ind w:right="105" w:firstLine="105"/>
              <w:jc w:val="both"/>
              <w:rPr>
                <w:rFonts w:hint="eastAsia" w:ascii="仿宋_GB2312" w:eastAsia="仿宋_GB2312" w:cs="Calibri"/>
                <w:sz w:val="20"/>
                <w:szCs w:val="20"/>
              </w:rPr>
            </w:pPr>
            <w:r>
              <w:rPr>
                <w:rFonts w:hint="eastAsia" w:ascii="仿宋_GB2312" w:hAnsi="仿宋" w:eastAsia="仿宋_GB2312" w:cs="仿宋_GB2312"/>
                <w:sz w:val="20"/>
                <w:szCs w:val="20"/>
              </w:rPr>
              <w:t>②资金的拨付是否有完整的审批程序和手续；</w:t>
            </w:r>
          </w:p>
          <w:p w14:paraId="21B67950">
            <w:pPr>
              <w:pStyle w:val="4"/>
              <w:widowControl/>
              <w:spacing w:before="0" w:beforeAutospacing="0" w:after="0" w:afterAutospacing="0" w:line="260" w:lineRule="atLeast"/>
              <w:ind w:right="105" w:firstLine="105"/>
              <w:jc w:val="both"/>
              <w:rPr>
                <w:rFonts w:hint="eastAsia" w:ascii="仿宋_GB2312" w:eastAsia="仿宋_GB2312" w:cs="Calibri"/>
                <w:sz w:val="20"/>
                <w:szCs w:val="20"/>
              </w:rPr>
            </w:pPr>
            <w:r>
              <w:rPr>
                <w:rFonts w:hint="eastAsia" w:ascii="仿宋_GB2312" w:hAnsi="仿宋" w:eastAsia="仿宋_GB2312" w:cs="仿宋_GB2312"/>
                <w:sz w:val="20"/>
                <w:szCs w:val="20"/>
              </w:rPr>
              <w:t>③是否符合项目预算批复或合同规定的用途；</w:t>
            </w:r>
          </w:p>
          <w:p w14:paraId="2A8572D2">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④是否存在截留、挤占、挪用、虚列支出等情况。</w:t>
            </w:r>
          </w:p>
        </w:tc>
      </w:tr>
      <w:tr w14:paraId="57B3D45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59CF9B17">
            <w:pPr>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AF8A23">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组织</w:t>
            </w:r>
          </w:p>
          <w:p w14:paraId="30C8BE31">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实施</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C9D2E15">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管理制度</w:t>
            </w:r>
          </w:p>
          <w:p w14:paraId="4195EE0B">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健全性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134A76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项目实施单位的财务和业务管理制度是否健全，用以反映和考核财务和业务管理制度对项目顺利实施的保障情况。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853B23">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①是否已制定或具有相应的财务和业务管理制度；</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②财务和业务管理制度是否合法、合规、完整。</w:t>
            </w:r>
          </w:p>
        </w:tc>
      </w:tr>
      <w:tr w14:paraId="16A2668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A2566C2">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51A30FF">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EC14418">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制度执行</w:t>
            </w:r>
          </w:p>
          <w:p w14:paraId="24A3DD8B">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有效性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BC7E62">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项目实施是否符合相关管理规定，用以反映和考核相关管理制度的有效执行情况。</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251B84E">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①是否遵守相关法律法规和相关管理规定；</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②项目调整及支出调整手续是否完备；</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③项目合同书、验收报告、技术鉴定等资料是否齐全并及时归档；</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④项目实施的人员条件、场地设备、信息支撑等是否落实到位。</w:t>
            </w:r>
          </w:p>
        </w:tc>
      </w:tr>
      <w:tr w14:paraId="4486B4B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4C98C8E">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产</w:t>
            </w:r>
            <w:r>
              <w:rPr>
                <w:rFonts w:hint="eastAsia" w:ascii="仿宋_GB2312" w:hAnsi="仿宋" w:eastAsia="仿宋_GB2312" w:cs="仿宋"/>
                <w:sz w:val="20"/>
                <w:szCs w:val="20"/>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A27450">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产出</w:t>
            </w:r>
          </w:p>
          <w:p w14:paraId="0CA71017">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数量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845EEEA">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实际</w:t>
            </w:r>
          </w:p>
          <w:p w14:paraId="0695511F">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完成率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DC4223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项目实施的实际产出数与计划产出数的比率，用以反映和考核项目产出数量目标的实现程度。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1240D3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实际完成率</w:t>
            </w:r>
            <w:r>
              <w:rPr>
                <w:rFonts w:hint="eastAsia" w:ascii="仿宋_GB2312" w:hAnsi="仿宋" w:eastAsia="仿宋_GB2312" w:cs="仿宋"/>
                <w:sz w:val="20"/>
                <w:szCs w:val="20"/>
              </w:rPr>
              <w:t>=（实际产出数/计划产出数）×100%。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实际产出数：一定时期（本年度或项目期）内项目实际产出的产品或提供的服务数量。</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计划产出数：项目绩效目标确定的在一定时期（本年度或项目期）内计划产出的产品或提供的服务数量。</w:t>
            </w:r>
          </w:p>
        </w:tc>
      </w:tr>
      <w:tr w14:paraId="712EFE3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292066F">
            <w:pPr>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332753B">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产出</w:t>
            </w:r>
          </w:p>
          <w:p w14:paraId="31AF2001">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质量</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D3D1E6B">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质量</w:t>
            </w:r>
          </w:p>
          <w:p w14:paraId="6F4AE8E3">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达标率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D11208A">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项目完成的质量达标产出数与实际产出数的比率，用以反映和考核项目产出质量目标的实现程度。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9B6BF7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质量达标率</w:t>
            </w:r>
            <w:r>
              <w:rPr>
                <w:rFonts w:hint="eastAsia" w:ascii="仿宋_GB2312" w:hAnsi="仿宋" w:eastAsia="仿宋_GB2312" w:cs="仿宋"/>
                <w:sz w:val="20"/>
                <w:szCs w:val="20"/>
              </w:rPr>
              <w:t>=（质量达标产出数/实际产出数）×100%。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14:paraId="2C73731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701E8A2">
            <w:pPr>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1F929AF">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产出</w:t>
            </w:r>
          </w:p>
          <w:p w14:paraId="5C65BF69">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时效</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8BABC1A">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完成</w:t>
            </w:r>
          </w:p>
          <w:p w14:paraId="481BA55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及时性</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28569A">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项目实际完成时间与计划完成时间的比较，用以反映和考核项目产出时效目标的实现程度。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FDC68B4">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实际完成时间：项目实施单位完成该项目实际所耗用的时间。</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计划完成时间：按照项目实施计划或相关规定完成该项目所需的时间。</w:t>
            </w:r>
          </w:p>
        </w:tc>
      </w:tr>
      <w:tr w14:paraId="1D0B2244">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03BA71EF">
            <w:pPr>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81C8CA3">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产出</w:t>
            </w:r>
          </w:p>
          <w:p w14:paraId="446B2296">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成本</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ED19027">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成本</w:t>
            </w:r>
          </w:p>
          <w:p w14:paraId="2AC7DD41">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节约率</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82634A1">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完成项目计划工作目标的实际节约成本与计划成本的比率，用以反映和考核项目的成本节约程度。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F67FF3F">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成本节约率</w:t>
            </w:r>
            <w:r>
              <w:rPr>
                <w:rFonts w:hint="eastAsia" w:ascii="仿宋_GB2312" w:hAnsi="仿宋" w:eastAsia="仿宋_GB2312" w:cs="仿宋"/>
                <w:sz w:val="20"/>
                <w:szCs w:val="20"/>
              </w:rPr>
              <w:t>=[（计划成本-实际成本）/计划成本]×100%。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实际成本：项目实施单位如期、保质、保量完成既定工作目标实际所耗费的支出。</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计划成本：项目实施单位为完成工作目标计划安排的支出，一般以项目预算为参考。</w:t>
            </w:r>
          </w:p>
        </w:tc>
      </w:tr>
      <w:tr w14:paraId="69328D5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A9D6F3A">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效</w:t>
            </w:r>
            <w:r>
              <w:rPr>
                <w:rFonts w:hint="eastAsia" w:ascii="仿宋_GB2312" w:hAnsi="仿宋" w:eastAsia="仿宋_GB2312" w:cs="仿宋"/>
                <w:sz w:val="20"/>
                <w:szCs w:val="20"/>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17BF07">
            <w:pPr>
              <w:pStyle w:val="4"/>
              <w:widowControl/>
              <w:spacing w:before="0" w:beforeAutospacing="0" w:after="0" w:afterAutospacing="0"/>
              <w:jc w:val="center"/>
              <w:rPr>
                <w:rFonts w:hint="eastAsia" w:ascii="仿宋_GB2312" w:eastAsia="仿宋_GB2312" w:cs="Calibri"/>
                <w:sz w:val="20"/>
                <w:szCs w:val="20"/>
              </w:rPr>
            </w:pPr>
            <w:r>
              <w:rPr>
                <w:rFonts w:hint="eastAsia" w:ascii="仿宋_GB2312" w:hAnsi="仿宋" w:eastAsia="仿宋_GB2312" w:cs="仿宋_GB2312"/>
                <w:sz w:val="20"/>
                <w:szCs w:val="20"/>
              </w:rPr>
              <w:t>项目</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效益</w:t>
            </w: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DA25886">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实施效益</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82A6037">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项目实施所产生的效益。</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12BB9B9">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项目实施所产生的社会效益、经济效益、生态效益、可持续影响等。可根据项目实际情况有选择地设置和细化。</w:t>
            </w:r>
          </w:p>
        </w:tc>
      </w:tr>
      <w:tr w14:paraId="0625C3E2">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9180FF5">
            <w:pPr>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40C51F3">
            <w:pPr>
              <w:rPr>
                <w:rFonts w:hint="eastAsia" w:ascii="仿宋_GB2312" w:hAnsi="Times New Roman" w:eastAsia="仿宋_GB2312"/>
                <w:sz w:val="18"/>
                <w:szCs w:val="18"/>
              </w:rPr>
            </w:pPr>
          </w:p>
        </w:tc>
        <w:tc>
          <w:tcPr>
            <w:tcW w:w="109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91ED87F">
            <w:pPr>
              <w:pStyle w:val="4"/>
              <w:widowControl/>
              <w:spacing w:before="0" w:beforeAutospacing="0" w:after="0" w:afterAutospacing="0" w:line="260" w:lineRule="atLeast"/>
              <w:ind w:left="105" w:right="105"/>
              <w:jc w:val="center"/>
              <w:rPr>
                <w:rFonts w:hint="eastAsia" w:ascii="仿宋_GB2312" w:eastAsia="仿宋_GB2312" w:cs="Calibri"/>
                <w:sz w:val="20"/>
                <w:szCs w:val="20"/>
              </w:rPr>
            </w:pPr>
            <w:r>
              <w:rPr>
                <w:rFonts w:hint="eastAsia" w:ascii="仿宋_GB2312" w:hAnsi="仿宋" w:eastAsia="仿宋_GB2312" w:cs="仿宋_GB2312"/>
                <w:sz w:val="20"/>
                <w:szCs w:val="20"/>
              </w:rPr>
              <w:t>满意度</w:t>
            </w:r>
          </w:p>
        </w:tc>
        <w:tc>
          <w:tcPr>
            <w:tcW w:w="2385"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33DE85">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社会公众或服务对象对项目实施效果的满意程度。</w:t>
            </w:r>
          </w:p>
        </w:tc>
        <w:tc>
          <w:tcPr>
            <w:tcW w:w="4386"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0EEF065">
            <w:pPr>
              <w:pStyle w:val="4"/>
              <w:widowControl/>
              <w:spacing w:before="0" w:beforeAutospacing="0" w:after="0" w:afterAutospacing="0" w:line="260" w:lineRule="atLeast"/>
              <w:ind w:left="105" w:right="105"/>
              <w:jc w:val="both"/>
              <w:rPr>
                <w:rFonts w:hint="eastAsia" w:ascii="仿宋_GB2312" w:eastAsia="仿宋_GB2312" w:cs="Calibri"/>
                <w:sz w:val="20"/>
                <w:szCs w:val="20"/>
              </w:rPr>
            </w:pPr>
            <w:r>
              <w:rPr>
                <w:rFonts w:hint="eastAsia" w:ascii="仿宋_GB2312" w:hAnsi="仿宋" w:eastAsia="仿宋_GB2312" w:cs="仿宋_GB2312"/>
                <w:sz w:val="20"/>
                <w:szCs w:val="20"/>
              </w:rPr>
              <w:t>社会公众或服务对象是指因该项目实施而受到影响的部门（单位）、群体或个人。一般采取社会调查的方式。</w:t>
            </w:r>
          </w:p>
        </w:tc>
      </w:tr>
    </w:tbl>
    <w:p w14:paraId="746DAD82">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p>
    <w:p w14:paraId="66DD9E56">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评价方法：通过组织被检查的项目所有材料上报至市科协项目评价实施小组，结合实地查看，完成项目评价。</w:t>
      </w:r>
    </w:p>
    <w:p w14:paraId="1E952DF5">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评价标准：1、计划标准。以预先制定的目标、计划、预算、定额等作为评价标准。2、历史标准。参照历史数据制定的评价标准，为体现绩效改进的原则，在可实现的条件下应当确定相对较高的评价标准。</w:t>
      </w:r>
    </w:p>
    <w:p w14:paraId="155EA8C6">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（3）绩效评价工作过程。</w:t>
      </w:r>
    </w:p>
    <w:p w14:paraId="1F908483">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36"/>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包括前期准备、组织实施和评价分析、沟通反馈等。</w:t>
      </w:r>
    </w:p>
    <w:p w14:paraId="3AB2EA69">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left="640" w:leftChars="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确定绩效评价对象。根据年度工作任务，确定2024年度绩效价</w:t>
      </w:r>
    </w:p>
    <w:p w14:paraId="16DD87A6">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对象为老科协科普活动经费。</w:t>
      </w:r>
    </w:p>
    <w:p w14:paraId="2B159440">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制定绩效评价实施方案。根据年度绩效评价工作计划、评价对象及预算管理要求，明确绩效评价实施工作目标、任务、时间安排和工作要求。并要求项目相关责任科室上报所有涉及项目绩效评价的项目资料。</w:t>
      </w:r>
    </w:p>
    <w:p w14:paraId="765BF663">
      <w:pPr>
        <w:pStyle w:val="4"/>
        <w:keepNext w:val="0"/>
        <w:keepLines w:val="0"/>
        <w:pageBreakBefore w:val="0"/>
        <w:widowControl/>
        <w:numPr>
          <w:ilvl w:val="0"/>
          <w:numId w:val="0"/>
        </w:numPr>
        <w:kinsoku/>
        <w:wordWrap/>
        <w:overflowPunct/>
        <w:topLinePunct w:val="0"/>
        <w:autoSpaceDE w:val="0"/>
        <w:autoSpaceDN w:val="0"/>
        <w:bidi w:val="0"/>
        <w:adjustRightInd/>
        <w:snapToGrid/>
        <w:spacing w:before="0" w:beforeAutospacing="0" w:after="0" w:afterAutospacing="0" w:line="240" w:lineRule="auto"/>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成立绩效评价工作组。我部门结合实际，成立通辽市科学技术协会工作组，组长由通辽市科学技术协会党组成员、副主席马秋洋</w:t>
      </w:r>
      <w:bookmarkStart w:id="0" w:name="_GoBack"/>
      <w:bookmarkEnd w:id="0"/>
      <w:r>
        <w:rPr>
          <w:rFonts w:hint="eastAsia" w:ascii="仿宋_GB2312" w:hAnsi="仿宋_GB2312" w:eastAsia="仿宋_GB2312" w:cs="仿宋_GB2312"/>
          <w:sz w:val="28"/>
          <w:szCs w:val="28"/>
          <w:lang w:val="en-US" w:eastAsia="zh-CN"/>
        </w:rPr>
        <w:t>担任，组员为通辽市科学技术协会财务人员吴黎黎、王海燕。组织开展绩效评价各个环节工作。</w:t>
      </w:r>
    </w:p>
    <w:p w14:paraId="40175D7E">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3、综合评价分析情况及评价结论</w:t>
      </w:r>
    </w:p>
    <w:p w14:paraId="5EFA902B">
      <w:pPr>
        <w:pStyle w:val="4"/>
        <w:keepNext w:val="0"/>
        <w:keepLines w:val="0"/>
        <w:pageBreakBefore w:val="0"/>
        <w:widowControl/>
        <w:kinsoku/>
        <w:wordWrap/>
        <w:overflowPunct/>
        <w:topLinePunct w:val="0"/>
        <w:bidi w:val="0"/>
        <w:adjustRightInd/>
        <w:snapToGrid/>
        <w:spacing w:before="0" w:beforeAutospacing="0" w:after="0" w:afterAutospacing="0" w:line="240" w:lineRule="auto"/>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评价单位：</w:t>
      </w:r>
      <w:r>
        <w:rPr>
          <w:rFonts w:hint="eastAsia" w:ascii="仿宋_GB2312" w:hAnsi="仿宋_GB2312" w:eastAsia="仿宋_GB2312" w:cs="仿宋_GB2312"/>
          <w:sz w:val="28"/>
          <w:szCs w:val="28"/>
          <w:lang w:val="en-US" w:eastAsia="zh-CN"/>
        </w:rPr>
        <w:t>通辽市科学技术协会</w:t>
      </w:r>
    </w:p>
    <w:p w14:paraId="5477B881">
      <w:pPr>
        <w:pStyle w:val="4"/>
        <w:keepNext w:val="0"/>
        <w:keepLines w:val="0"/>
        <w:pageBreakBefore w:val="0"/>
        <w:widowControl/>
        <w:kinsoku/>
        <w:wordWrap/>
        <w:overflowPunct/>
        <w:topLinePunct w:val="0"/>
        <w:bidi w:val="0"/>
        <w:adjustRightInd/>
        <w:snapToGrid/>
        <w:spacing w:before="0" w:beforeAutospacing="0" w:after="0" w:afterAutospacing="0" w:line="240" w:lineRule="auto"/>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评价项目：</w:t>
      </w:r>
      <w:r>
        <w:rPr>
          <w:rFonts w:hint="eastAsia" w:ascii="仿宋_GB2312" w:hAnsi="仿宋_GB2312" w:eastAsia="仿宋_GB2312" w:cs="仿宋_GB2312"/>
          <w:sz w:val="28"/>
          <w:szCs w:val="28"/>
          <w:lang w:val="en-US" w:eastAsia="zh-CN"/>
        </w:rPr>
        <w:t>老科协科普活动经费</w:t>
      </w:r>
    </w:p>
    <w:p w14:paraId="7DD8A563">
      <w:pPr>
        <w:pStyle w:val="4"/>
        <w:keepNext w:val="0"/>
        <w:keepLines w:val="0"/>
        <w:pageBreakBefore w:val="0"/>
        <w:widowControl/>
        <w:kinsoku/>
        <w:wordWrap/>
        <w:overflowPunct/>
        <w:topLinePunct w:val="0"/>
        <w:bidi w:val="0"/>
        <w:adjustRightInd/>
        <w:snapToGrid/>
        <w:spacing w:before="0" w:beforeAutospacing="0" w:after="0" w:afterAutospacing="0" w:line="240" w:lineRule="auto"/>
        <w:ind w:firstLine="560" w:firstLineChars="20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项目金额：</w:t>
      </w:r>
      <w:r>
        <w:rPr>
          <w:rFonts w:hint="eastAsia" w:ascii="仿宋_GB2312" w:hAnsi="仿宋" w:eastAsia="仿宋_GB2312" w:cs="仿宋"/>
          <w:color w:val="auto"/>
          <w:sz w:val="28"/>
          <w:szCs w:val="28"/>
          <w:lang w:val="en-US" w:eastAsia="zh-CN"/>
        </w:rPr>
        <w:t>22.8万</w:t>
      </w:r>
      <w:r>
        <w:rPr>
          <w:rFonts w:hint="eastAsia" w:ascii="仿宋_GB2312" w:hAnsi="仿宋_GB2312" w:eastAsia="仿宋_GB2312" w:cs="仿宋_GB2312"/>
          <w:sz w:val="28"/>
          <w:szCs w:val="28"/>
          <w:lang w:val="en-US" w:eastAsia="zh-CN"/>
        </w:rPr>
        <w:t xml:space="preserve">元         </w:t>
      </w:r>
    </w:p>
    <w:p w14:paraId="6722F613">
      <w:pPr>
        <w:pStyle w:val="4"/>
        <w:keepNext w:val="0"/>
        <w:keepLines w:val="0"/>
        <w:pageBreakBefore w:val="0"/>
        <w:widowControl/>
        <w:kinsoku/>
        <w:wordWrap/>
        <w:overflowPunct/>
        <w:topLinePunct w:val="0"/>
        <w:bidi w:val="0"/>
        <w:adjustRightInd/>
        <w:snapToGrid/>
        <w:spacing w:before="0" w:beforeAutospacing="0" w:after="0" w:afterAutospacing="0" w:line="240" w:lineRule="auto"/>
        <w:ind w:firstLine="560" w:firstLineChars="2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评价实际得分：94.82分</w:t>
      </w:r>
    </w:p>
    <w:tbl>
      <w:tblPr>
        <w:tblStyle w:val="5"/>
        <w:tblW w:w="760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tblLayout w:type="fixed"/>
        <w:tblCellMar>
          <w:top w:w="15" w:type="dxa"/>
          <w:left w:w="15" w:type="dxa"/>
          <w:bottom w:w="15" w:type="dxa"/>
          <w:right w:w="15" w:type="dxa"/>
        </w:tblCellMar>
      </w:tblPr>
      <w:tblGrid>
        <w:gridCol w:w="662"/>
        <w:gridCol w:w="644"/>
        <w:gridCol w:w="853"/>
        <w:gridCol w:w="1680"/>
        <w:gridCol w:w="2370"/>
        <w:gridCol w:w="690"/>
        <w:gridCol w:w="702"/>
      </w:tblGrid>
      <w:tr w14:paraId="616421F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454" w:hRule="atLeast"/>
          <w:jc w:val="center"/>
        </w:trPr>
        <w:tc>
          <w:tcPr>
            <w:tcW w:w="66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60470011">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0"/>
                <w:szCs w:val="20"/>
              </w:rPr>
            </w:pPr>
            <w:r>
              <w:rPr>
                <w:rFonts w:hint="eastAsia" w:ascii="仿宋_GB2312" w:hAnsi="仿宋" w:eastAsia="仿宋_GB2312" w:cs="仿宋_GB2312"/>
                <w:b/>
                <w:sz w:val="20"/>
                <w:szCs w:val="20"/>
              </w:rPr>
              <w:t>一级</w:t>
            </w:r>
            <w:r>
              <w:rPr>
                <w:rFonts w:hint="eastAsia" w:ascii="仿宋" w:hAnsi="仿宋" w:eastAsia="仿宋" w:cs="仿宋"/>
                <w:b/>
                <w:sz w:val="20"/>
                <w:szCs w:val="20"/>
              </w:rPr>
              <w:br w:type="textWrapping"/>
            </w:r>
            <w:r>
              <w:rPr>
                <w:rFonts w:hint="eastAsia" w:ascii="仿宋_GB2312" w:hAnsi="仿宋" w:eastAsia="仿宋_GB2312" w:cs="仿宋_GB2312"/>
                <w:b/>
                <w:sz w:val="20"/>
                <w:szCs w:val="20"/>
              </w:rPr>
              <w:t>指标</w:t>
            </w:r>
          </w:p>
        </w:tc>
        <w:tc>
          <w:tcPr>
            <w:tcW w:w="644"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53983B6C">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0"/>
                <w:szCs w:val="20"/>
              </w:rPr>
            </w:pPr>
            <w:r>
              <w:rPr>
                <w:rFonts w:hint="eastAsia" w:ascii="仿宋_GB2312" w:hAnsi="仿宋" w:eastAsia="仿宋_GB2312" w:cs="仿宋_GB2312"/>
                <w:b/>
                <w:sz w:val="20"/>
                <w:szCs w:val="20"/>
              </w:rPr>
              <w:t>二级</w:t>
            </w:r>
            <w:r>
              <w:rPr>
                <w:rFonts w:hint="eastAsia" w:ascii="仿宋" w:hAnsi="仿宋" w:eastAsia="仿宋" w:cs="仿宋"/>
                <w:b/>
                <w:sz w:val="20"/>
                <w:szCs w:val="20"/>
              </w:rPr>
              <w:br w:type="textWrapping"/>
            </w:r>
            <w:r>
              <w:rPr>
                <w:rFonts w:hint="eastAsia" w:ascii="仿宋_GB2312" w:hAnsi="仿宋" w:eastAsia="仿宋_GB2312" w:cs="仿宋_GB2312"/>
                <w:b/>
                <w:sz w:val="20"/>
                <w:szCs w:val="20"/>
              </w:rPr>
              <w:t>指标</w:t>
            </w:r>
          </w:p>
        </w:tc>
        <w:tc>
          <w:tcPr>
            <w:tcW w:w="853"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0A740E3C">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0"/>
                <w:szCs w:val="20"/>
              </w:rPr>
            </w:pPr>
            <w:r>
              <w:rPr>
                <w:rFonts w:hint="eastAsia" w:ascii="仿宋_GB2312" w:hAnsi="仿宋" w:eastAsia="仿宋_GB2312" w:cs="仿宋_GB2312"/>
                <w:b/>
                <w:sz w:val="20"/>
                <w:szCs w:val="20"/>
              </w:rPr>
              <w:t>三级指标</w:t>
            </w:r>
          </w:p>
        </w:tc>
        <w:tc>
          <w:tcPr>
            <w:tcW w:w="168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0138CD05">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0"/>
                <w:szCs w:val="20"/>
              </w:rPr>
            </w:pPr>
            <w:r>
              <w:rPr>
                <w:rFonts w:hint="eastAsia" w:ascii="仿宋_GB2312" w:hAnsi="仿宋" w:eastAsia="仿宋_GB2312" w:cs="仿宋_GB2312"/>
                <w:b/>
                <w:sz w:val="20"/>
                <w:szCs w:val="20"/>
              </w:rPr>
              <w:t>指标解释</w:t>
            </w:r>
          </w:p>
        </w:tc>
        <w:tc>
          <w:tcPr>
            <w:tcW w:w="237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645F4B31">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cs="Calibri"/>
                <w:sz w:val="20"/>
                <w:szCs w:val="20"/>
              </w:rPr>
            </w:pPr>
            <w:r>
              <w:rPr>
                <w:rFonts w:hint="eastAsia" w:ascii="仿宋_GB2312" w:hAnsi="仿宋" w:eastAsia="仿宋_GB2312" w:cs="仿宋_GB2312"/>
                <w:b/>
                <w:sz w:val="20"/>
                <w:szCs w:val="20"/>
              </w:rPr>
              <w:t>指标说明</w:t>
            </w:r>
          </w:p>
        </w:tc>
        <w:tc>
          <w:tcPr>
            <w:tcW w:w="690"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32481CC6">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0"/>
                <w:szCs w:val="20"/>
                <w:lang w:eastAsia="zh-CN"/>
              </w:rPr>
            </w:pPr>
            <w:r>
              <w:rPr>
                <w:rFonts w:hint="eastAsia" w:ascii="仿宋_GB2312" w:hAnsi="仿宋" w:eastAsia="仿宋_GB2312" w:cs="仿宋_GB2312"/>
                <w:b/>
                <w:sz w:val="20"/>
                <w:szCs w:val="20"/>
                <w:lang w:eastAsia="zh-CN"/>
              </w:rPr>
              <w:t>分值</w:t>
            </w:r>
          </w:p>
        </w:tc>
        <w:tc>
          <w:tcPr>
            <w:tcW w:w="702" w:type="dxa"/>
            <w:tcBorders>
              <w:top w:val="single" w:color="auto" w:sz="8" w:space="0"/>
              <w:left w:val="single" w:color="auto" w:sz="8" w:space="0"/>
              <w:bottom w:val="single" w:color="auto" w:sz="8" w:space="0"/>
              <w:right w:val="single" w:color="auto" w:sz="8" w:space="0"/>
            </w:tcBorders>
            <w:tcMar>
              <w:top w:w="10" w:type="dxa"/>
              <w:left w:w="10" w:type="dxa"/>
              <w:bottom w:w="0" w:type="dxa"/>
              <w:right w:w="10" w:type="dxa"/>
            </w:tcMar>
            <w:vAlign w:val="center"/>
          </w:tcPr>
          <w:p w14:paraId="72A982CA">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b/>
                <w:sz w:val="20"/>
                <w:szCs w:val="20"/>
                <w:lang w:eastAsia="zh-CN"/>
              </w:rPr>
            </w:pPr>
            <w:r>
              <w:rPr>
                <w:rFonts w:hint="eastAsia" w:ascii="仿宋_GB2312" w:hAnsi="仿宋" w:eastAsia="仿宋_GB2312" w:cs="仿宋_GB2312"/>
                <w:b/>
                <w:sz w:val="20"/>
                <w:szCs w:val="20"/>
                <w:lang w:eastAsia="zh-CN"/>
              </w:rPr>
              <w:t>实际得分</w:t>
            </w:r>
          </w:p>
        </w:tc>
      </w:tr>
      <w:tr w14:paraId="1964E92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3912"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FDA98ED">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决策</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C9B57B">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hAnsi="仿宋" w:eastAsia="仿宋_GB2312" w:cs="仿宋_GB2312"/>
                <w:sz w:val="20"/>
                <w:szCs w:val="20"/>
              </w:rPr>
            </w:pPr>
            <w:r>
              <w:rPr>
                <w:rFonts w:hint="eastAsia" w:ascii="仿宋_GB2312" w:hAnsi="仿宋" w:eastAsia="仿宋_GB2312" w:cs="仿宋_GB2312"/>
                <w:sz w:val="20"/>
                <w:szCs w:val="20"/>
              </w:rPr>
              <w:t>项目</w:t>
            </w:r>
          </w:p>
          <w:p w14:paraId="65BA4E01">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立项</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C5D85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立项依据</w:t>
            </w:r>
          </w:p>
          <w:p w14:paraId="702AD44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充分性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DE922B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项目立项是否符合法律法规、相关政策、发展规划以及部门职责，用以反映和考核项目立项依据情况。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4B7AF9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①项目立项是否符合国家法律法规、国民经济发展规划和相关政策；</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②项目立项是否符合行业发展规划和政策要求；</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③项目立项是否与部门职责范围相符，属于部门履职所需；</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④项目是否属于公共财政支持范围，是否符合中央、地方事权支出责任划分原则；</w:t>
            </w:r>
          </w:p>
          <w:p w14:paraId="0042039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_GB2312" w:eastAsia="仿宋_GB2312" w:cs="仿宋_GB2312"/>
                <w:sz w:val="20"/>
                <w:szCs w:val="20"/>
              </w:rPr>
              <w:t>⑤</w:t>
            </w:r>
            <w:r>
              <w:rPr>
                <w:rFonts w:hint="eastAsia" w:ascii="仿宋_GB2312" w:hAnsi="仿宋" w:eastAsia="仿宋_GB2312" w:cs="仿宋_GB2312"/>
                <w:sz w:val="20"/>
                <w:szCs w:val="20"/>
              </w:rPr>
              <w:t>项目是否与相关部门同类项目或部门内部相关项目重复。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87EB602">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1F44D3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_GB2312" w:eastAsia="仿宋_GB2312" w:cs="仿宋_GB2312"/>
                <w:sz w:val="20"/>
                <w:szCs w:val="20"/>
                <w:lang w:val="en-US" w:eastAsia="zh-CN"/>
              </w:rPr>
            </w:pPr>
            <w:r>
              <w:rPr>
                <w:rFonts w:hint="eastAsia" w:ascii="仿宋_GB2312" w:hAnsi="仿宋_GB2312" w:eastAsia="仿宋_GB2312" w:cs="仿宋_GB2312"/>
                <w:sz w:val="20"/>
                <w:szCs w:val="20"/>
                <w:lang w:val="en-US" w:eastAsia="zh-CN"/>
              </w:rPr>
              <w:t>5</w:t>
            </w:r>
          </w:p>
        </w:tc>
      </w:tr>
      <w:tr w14:paraId="0115E13D">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04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77DCE7EC">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A04267">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A75D60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立项程序规范性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DA2623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项目申请、设立过程是否符合相关要求，用以反映和考核项目立项的规范情况。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B556DA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3FD95FA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①项目是否按照规定的程序申请设立；</w:t>
            </w:r>
          </w:p>
          <w:p w14:paraId="55F89E1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②审批文件、材料是否符合相关要求；</w:t>
            </w:r>
          </w:p>
          <w:p w14:paraId="3F9D74FF">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③事前是否已经过必要的可行性研究、专家论证、风险评估、绩效评估、集体决策。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648145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57553E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66FA2E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72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36A1C1F">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BF40686">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绩效</w:t>
            </w:r>
          </w:p>
          <w:p w14:paraId="3CA65AC6">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目标</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AE38CD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绩效目标</w:t>
            </w:r>
          </w:p>
          <w:p w14:paraId="1386A952">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FE26EA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项目所设定的绩效目标是否依据充分，是否符合客观实际，用以反映和考核项目绩效目标与项目实施的相符情况。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BE0FCF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225D54B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（如未设定预算绩效目标，也可考核其他工作任务目标）</w:t>
            </w:r>
          </w:p>
          <w:p w14:paraId="52F0079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①项目是否有绩效目标；</w:t>
            </w:r>
          </w:p>
          <w:p w14:paraId="05C840E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②项目绩效目标与实际工作内容是否具有相关性；</w:t>
            </w:r>
          </w:p>
          <w:p w14:paraId="4AE47B9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rPr>
            </w:pPr>
            <w:r>
              <w:rPr>
                <w:rFonts w:hint="eastAsia" w:ascii="仿宋_GB2312" w:hAnsi="仿宋" w:eastAsia="仿宋_GB2312" w:cs="仿宋_GB2312"/>
                <w:sz w:val="20"/>
                <w:szCs w:val="20"/>
              </w:rPr>
              <w:t>③项目预期产出效益和效果是否符合正常的业绩水平；</w:t>
            </w:r>
          </w:p>
          <w:p w14:paraId="3D1FE98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④是否与预算确定的项目投资额或资金量相匹配。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F552B0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2D1344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5154E1B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8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6535FEF">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450D1E2">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3583FB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绩效指标</w:t>
            </w:r>
          </w:p>
          <w:p w14:paraId="3D9A2E5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明确性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C97B9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依据绩效目标设定的绩效指标是否清晰、细化、可衡量等，用以反映和考核项目绩效目标的细化情况。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22679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①是否将项目绩效目标细化分解为具体的绩效指标；</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②是否通过清晰、可衡量的指标值予以体现；</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③是否与项目目标任务数或计划数相对应。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785883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F6FC4D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53BF4C2B">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5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BB3DFBD">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5FA14E2">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w:t>
            </w:r>
          </w:p>
          <w:p w14:paraId="23B62E75">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投入</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BD4E2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预算编制</w:t>
            </w:r>
          </w:p>
          <w:p w14:paraId="1DC16B7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科学性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DA0112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项目预算编制是否经过科学论证、有明确标准，资金额度与年度目标是否相适应，用以反映和考核项目预算编制的科学性、合理性等情况。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CBE8CF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603BE5C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①预算编制是否经过科学论证；</w:t>
            </w:r>
          </w:p>
          <w:p w14:paraId="6949406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②预算内容与项目内容是否匹配；</w:t>
            </w:r>
          </w:p>
          <w:p w14:paraId="740576D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③预算额度测算依据是否充分，是否按照标准编制；</w:t>
            </w:r>
          </w:p>
          <w:p w14:paraId="49BED17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④预算确定的项目投资额或资金量是否与工作任务相匹配。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60C82F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00F52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3CFD3C29">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81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44EE79C">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74894712">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D4E7A3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资金分配</w:t>
            </w:r>
          </w:p>
          <w:p w14:paraId="4177489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合理性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031FC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项目预算资金分配是否有测算依据，与补助单位或地方实际是否相适应，用以反映和考核项目预算资金分配的科学性、合理性等情况。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70FF3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65CDD365">
            <w:pPr>
              <w:pStyle w:val="4"/>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①预算资金分配依据是否充分；</w:t>
            </w:r>
          </w:p>
          <w:p w14:paraId="72EC18D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②资金分配额度是否合理，与项目单位或地方实际是否相适应。</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D1082C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C75B70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360B15A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908" w:hRule="atLeast"/>
          <w:jc w:val="center"/>
        </w:trPr>
        <w:tc>
          <w:tcPr>
            <w:tcW w:w="662" w:type="dxa"/>
            <w:vMerge w:val="restart"/>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DCD88ED">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过程</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380CD40">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管理</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1F5117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w:t>
            </w:r>
          </w:p>
          <w:p w14:paraId="3D8A1E1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到位率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57FD4B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实际到位资金与预算资金的比率，用以反映和考核资金落实情况对项目实施的总体保障程度。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A121A8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资金到位率</w:t>
            </w:r>
            <w:r>
              <w:rPr>
                <w:rFonts w:hint="eastAsia" w:ascii="仿宋_GB2312" w:hAnsi="仿宋" w:eastAsia="仿宋_GB2312" w:cs="仿宋"/>
                <w:sz w:val="20"/>
                <w:szCs w:val="20"/>
              </w:rPr>
              <w:t>=（实际到位资金/预算资金）×100%。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实际到位资金：一定时期（本年度或项目期）内落实到具体项目的资金。</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预算资金：一定时期（本年度或项目期）内预算安排到具体项目的资金。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41B32CF">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B62A87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5247D2D8">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309"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4B0F4B3B">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D573A8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0B4526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预算</w:t>
            </w:r>
          </w:p>
          <w:p w14:paraId="788D84E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执行率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67EA29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项目预算资金是否按照计划执行，用以反映或考核项目预算执行情况。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D3B94A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预算执行率</w:t>
            </w:r>
            <w:r>
              <w:rPr>
                <w:rFonts w:hint="eastAsia" w:ascii="仿宋_GB2312" w:hAnsi="仿宋" w:eastAsia="仿宋_GB2312" w:cs="仿宋"/>
                <w:sz w:val="20"/>
                <w:szCs w:val="20"/>
              </w:rPr>
              <w:t>=（实际支出资金/实际到位资金）×100%。</w:t>
            </w:r>
          </w:p>
          <w:p w14:paraId="1E7CC82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实际支出资金：一定时期（本年度或项目期）内项目实际拨付的资金。</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9D3FAB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F3A11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64C8557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55"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0FA3207B">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33F02B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9B0EF6F">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资金使用</w:t>
            </w:r>
          </w:p>
          <w:p w14:paraId="24143DD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合规性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6DC90A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项目资金使用是否符合相关的财务管理制度规定，用以反映和考核项目资金的规范运行情况。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B2EEB1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p>
          <w:p w14:paraId="7F35193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①是否符合国家财经法规和财务管理制度以及有关专项资金管理办法的规定；</w:t>
            </w:r>
          </w:p>
          <w:p w14:paraId="22169A48">
            <w:pPr>
              <w:pStyle w:val="4"/>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②资金的拨付是否有完整的审批程序和手续；</w:t>
            </w:r>
          </w:p>
          <w:p w14:paraId="149D1E11">
            <w:pPr>
              <w:pStyle w:val="4"/>
              <w:keepNext w:val="0"/>
              <w:keepLines w:val="0"/>
              <w:pageBreakBefore w:val="0"/>
              <w:widowControl/>
              <w:kinsoku/>
              <w:wordWrap/>
              <w:overflowPunct/>
              <w:topLinePunct w:val="0"/>
              <w:bidi w:val="0"/>
              <w:adjustRightInd/>
              <w:snapToGrid/>
              <w:spacing w:before="0" w:beforeAutospacing="0" w:after="0" w:afterAutospacing="0" w:line="240" w:lineRule="auto"/>
              <w:ind w:right="105" w:firstLine="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③是否符合项目预算批复或合同规定的用途；</w:t>
            </w:r>
          </w:p>
          <w:p w14:paraId="04B673E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④是否存在截留、挤占、挪用、虚列支出等情况。</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6E213F2">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316AA7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r>
      <w:tr w14:paraId="5396F33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942"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6737CF69">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6E5F6E8">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组织</w:t>
            </w:r>
          </w:p>
          <w:p w14:paraId="11179970">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实施</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2C2CE9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管理制度</w:t>
            </w:r>
          </w:p>
          <w:p w14:paraId="7E64629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健全性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34A75A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项目实施单位的财务和业务管理制度是否健全，用以反映和考核财务和业务管理制度对项目顺利实施的保障情况。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2788A9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①是否已制定或具有相应的财务和业务管理制度；</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②财务和业务管理制度是否合法、合规、完整。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A99808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9A59B6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r>
      <w:tr w14:paraId="60F0173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206" w:hRule="atLeast"/>
          <w:jc w:val="center"/>
        </w:trPr>
        <w:tc>
          <w:tcPr>
            <w:tcW w:w="662" w:type="dxa"/>
            <w:vMerge w:val="continue"/>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3C2896C4">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EFBB65A">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AA2A10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制度执行</w:t>
            </w:r>
          </w:p>
          <w:p w14:paraId="3A1B57B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有效性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CDE433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项目实施是否符合相关管理规定，用以反映和考核相关管理制度的有效执行情况。</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7B271C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评价要点：</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①是否遵守相关法律法规和相关管理规定；</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②项目调整及支出调整手续是否完备；</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③项目合同书、验收报告、技术鉴定等资料是否齐全并及时归档；</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④项目实施的人员条件、场地设备、信息支撑等是否落实到位。</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0FD512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DD3E634">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10</w:t>
            </w:r>
          </w:p>
        </w:tc>
      </w:tr>
      <w:tr w14:paraId="7674451C">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551"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6DB41CF7">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产</w:t>
            </w:r>
            <w:r>
              <w:rPr>
                <w:rFonts w:hint="eastAsia" w:ascii="仿宋_GB2312" w:hAnsi="仿宋" w:eastAsia="仿宋_GB2312" w:cs="仿宋"/>
                <w:sz w:val="20"/>
                <w:szCs w:val="20"/>
              </w:rPr>
              <w:t>出</w:t>
            </w: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BF27C3E">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产出</w:t>
            </w:r>
          </w:p>
          <w:p w14:paraId="20A980D1">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数量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12B83E5">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实际</w:t>
            </w:r>
          </w:p>
          <w:p w14:paraId="31855BB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完成率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8306B2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项目实施的实际产出数与计划产出数的比率，用以反映和考核项目产出数量目标的实现程度。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E294D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实际完成率</w:t>
            </w:r>
            <w:r>
              <w:rPr>
                <w:rFonts w:hint="eastAsia" w:ascii="仿宋_GB2312" w:hAnsi="仿宋" w:eastAsia="仿宋_GB2312" w:cs="仿宋"/>
                <w:sz w:val="20"/>
                <w:szCs w:val="20"/>
              </w:rPr>
              <w:t>=（实际产出数/计划产出数）×100%。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实际产出数：一定时期（本年度或项目期）内项目实际产出的产品或提供的服务数量。</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计划产出数：项目绩效目标确定的在一定时期（本年度或项目期）内计划产出的产品或提供的服务数量。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F477CD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3ACA84E2">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35A58C5F">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cantSplit/>
          <w:trHeight w:val="2665"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18A31CC6">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56D46C3">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产出</w:t>
            </w:r>
          </w:p>
          <w:p w14:paraId="1B392527">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质量</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CBE084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质量</w:t>
            </w:r>
          </w:p>
          <w:p w14:paraId="4F26E93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达标率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A1C671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项目完成的质量达标产出数与实际产出数的比率，用以反映和考核项目产出质量目标的实现程度。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4D5D6E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质量达标率</w:t>
            </w:r>
            <w:r>
              <w:rPr>
                <w:rFonts w:hint="eastAsia" w:ascii="仿宋_GB2312" w:hAnsi="仿宋" w:eastAsia="仿宋_GB2312" w:cs="仿宋"/>
                <w:sz w:val="20"/>
                <w:szCs w:val="20"/>
              </w:rPr>
              <w:t>=（质量达标产出数/实际产出数）×100%。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C60EB40">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B10C65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6F8E1EC0">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531"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4FBED15">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2ABA57D9">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产出</w:t>
            </w:r>
          </w:p>
          <w:p w14:paraId="6239B6CE">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时效</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B009557">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完成</w:t>
            </w:r>
          </w:p>
          <w:p w14:paraId="7D42774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及时性</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E7023CA">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项目实际完成时间与计划完成时间的比较，用以反映和考核项目产出时效目标的实现程度。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21F775F">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实际完成时间：项目实施单位完成该项目实际所耗用的时间。</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计划完成时间：按照项目实施计划或相关规定完成该项目所需的时间。</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70C0808">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default"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5EABFF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424ABAE7">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2324"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20792A35">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tcBorders>
              <w:top w:val="nil"/>
              <w:left w:val="single" w:color="auto" w:sz="8" w:space="0"/>
              <w:bottom w:val="single" w:color="auto" w:sz="8" w:space="0"/>
              <w:right w:val="single" w:color="auto" w:sz="8" w:space="0"/>
            </w:tcBorders>
            <w:tcMar>
              <w:top w:w="0" w:type="dxa"/>
              <w:left w:w="0" w:type="dxa"/>
              <w:bottom w:w="0" w:type="dxa"/>
              <w:right w:w="0" w:type="dxa"/>
            </w:tcMar>
            <w:vAlign w:val="center"/>
          </w:tcPr>
          <w:p w14:paraId="7CF82BF1">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产出</w:t>
            </w:r>
          </w:p>
          <w:p w14:paraId="1CB12C40">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成本</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AE758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成本</w:t>
            </w:r>
          </w:p>
          <w:p w14:paraId="2CDD753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节约率</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569D51B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完成项目计划工作目标的实际节约成本与计划成本的比率，用以反映和考核项目的成本节约程度。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043539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成本节约率</w:t>
            </w:r>
            <w:r>
              <w:rPr>
                <w:rFonts w:hint="eastAsia" w:ascii="仿宋_GB2312" w:hAnsi="仿宋" w:eastAsia="仿宋_GB2312" w:cs="仿宋"/>
                <w:sz w:val="20"/>
                <w:szCs w:val="20"/>
              </w:rPr>
              <w:t>=[（计划成本-实际成本）/计划成本]×100%。</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实际成本：项目实施单位如期、保质、保量完成既定工作目标实际所耗费的支出。</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计划成本：项目实施单位为完成工作目标计划安排的支出，一般以项目预算为参考。</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BBF4F3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44B6621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07CD9C36">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247" w:hRule="atLeast"/>
          <w:jc w:val="center"/>
        </w:trPr>
        <w:tc>
          <w:tcPr>
            <w:tcW w:w="662" w:type="dxa"/>
            <w:vMerge w:val="restart"/>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3D44A938">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效</w:t>
            </w:r>
            <w:r>
              <w:rPr>
                <w:rFonts w:hint="eastAsia" w:ascii="仿宋_GB2312" w:hAnsi="仿宋" w:eastAsia="仿宋_GB2312" w:cs="仿宋"/>
                <w:sz w:val="20"/>
                <w:szCs w:val="20"/>
              </w:rPr>
              <w:t>益</w:t>
            </w:r>
          </w:p>
        </w:tc>
        <w:tc>
          <w:tcPr>
            <w:tcW w:w="644" w:type="dxa"/>
            <w:vMerge w:val="restart"/>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19DF4E5">
            <w:pPr>
              <w:pStyle w:val="4"/>
              <w:keepNext w:val="0"/>
              <w:keepLines w:val="0"/>
              <w:pageBreakBefore w:val="0"/>
              <w:widowControl/>
              <w:kinsoku/>
              <w:wordWrap/>
              <w:overflowPunct/>
              <w:topLinePunct w:val="0"/>
              <w:bidi w:val="0"/>
              <w:adjustRightInd/>
              <w:snapToGrid/>
              <w:spacing w:before="0" w:beforeAutospacing="0" w:after="0" w:afterAutospacing="0" w:line="240" w:lineRule="auto"/>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w:t>
            </w:r>
            <w:r>
              <w:rPr>
                <w:rFonts w:hint="eastAsia" w:ascii="仿宋_GB2312" w:hAnsi="仿宋" w:eastAsia="仿宋_GB2312" w:cs="仿宋"/>
                <w:sz w:val="20"/>
                <w:szCs w:val="20"/>
              </w:rPr>
              <w:br w:type="textWrapping"/>
            </w:r>
            <w:r>
              <w:rPr>
                <w:rFonts w:hint="eastAsia" w:ascii="仿宋_GB2312" w:hAnsi="仿宋" w:eastAsia="仿宋_GB2312" w:cs="仿宋_GB2312"/>
                <w:sz w:val="20"/>
                <w:szCs w:val="20"/>
              </w:rPr>
              <w:t>效益</w:t>
            </w: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0425519E">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实施效益</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7AA2CB3">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项目实施所产生的效益。</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93F34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项目实施所产生的社会效益、经济效益、生态效益、可持续影响等。可根据项目实际情况有选择地设置和细化。</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70ABE1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63BBA8B">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r w14:paraId="1FFA3D4A">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15" w:type="dxa"/>
            <w:left w:w="15" w:type="dxa"/>
            <w:bottom w:w="15" w:type="dxa"/>
            <w:right w:w="15" w:type="dxa"/>
          </w:tblCellMar>
        </w:tblPrEx>
        <w:trPr>
          <w:trHeight w:val="1077" w:hRule="atLeast"/>
          <w:jc w:val="center"/>
        </w:trPr>
        <w:tc>
          <w:tcPr>
            <w:tcW w:w="662" w:type="dxa"/>
            <w:vMerge w:val="continue"/>
            <w:tcBorders>
              <w:top w:val="nil"/>
              <w:left w:val="single" w:color="auto" w:sz="8" w:space="0"/>
              <w:bottom w:val="single" w:color="auto" w:sz="8" w:space="0"/>
              <w:right w:val="single" w:color="auto" w:sz="8" w:space="0"/>
            </w:tcBorders>
            <w:noWrap/>
            <w:tcMar>
              <w:top w:w="10" w:type="dxa"/>
              <w:left w:w="10" w:type="dxa"/>
              <w:bottom w:w="0" w:type="dxa"/>
              <w:right w:w="10" w:type="dxa"/>
            </w:tcMar>
            <w:vAlign w:val="center"/>
          </w:tcPr>
          <w:p w14:paraId="4A401C3F">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644" w:type="dxa"/>
            <w:vMerge w:val="continue"/>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CC25308">
            <w:pPr>
              <w:keepNext w:val="0"/>
              <w:keepLines w:val="0"/>
              <w:pageBreakBefore w:val="0"/>
              <w:kinsoku/>
              <w:wordWrap/>
              <w:overflowPunct/>
              <w:topLinePunct w:val="0"/>
              <w:bidi w:val="0"/>
              <w:adjustRightInd/>
              <w:snapToGrid/>
              <w:spacing w:line="240" w:lineRule="auto"/>
              <w:textAlignment w:val="auto"/>
              <w:rPr>
                <w:rFonts w:hint="eastAsia" w:ascii="仿宋_GB2312" w:hAnsi="Times New Roman" w:eastAsia="仿宋_GB2312"/>
                <w:sz w:val="18"/>
                <w:szCs w:val="18"/>
              </w:rPr>
            </w:pPr>
          </w:p>
        </w:tc>
        <w:tc>
          <w:tcPr>
            <w:tcW w:w="853"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47F7511">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center"/>
              <w:textAlignment w:val="auto"/>
              <w:rPr>
                <w:rFonts w:hint="eastAsia" w:ascii="仿宋_GB2312" w:eastAsia="仿宋_GB2312" w:cs="Calibri"/>
                <w:sz w:val="20"/>
                <w:szCs w:val="20"/>
              </w:rPr>
            </w:pPr>
            <w:r>
              <w:rPr>
                <w:rFonts w:hint="eastAsia" w:ascii="仿宋_GB2312" w:hAnsi="仿宋" w:eastAsia="仿宋_GB2312" w:cs="仿宋_GB2312"/>
                <w:sz w:val="20"/>
                <w:szCs w:val="20"/>
              </w:rPr>
              <w:t>满意度</w:t>
            </w:r>
          </w:p>
        </w:tc>
        <w:tc>
          <w:tcPr>
            <w:tcW w:w="168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792C9786">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社会公众或服务对象对项目实施效果的满意程度。</w:t>
            </w:r>
          </w:p>
        </w:tc>
        <w:tc>
          <w:tcPr>
            <w:tcW w:w="237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6E140EC9">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eastAsia="仿宋_GB2312" w:cs="Calibri"/>
                <w:sz w:val="20"/>
                <w:szCs w:val="20"/>
              </w:rPr>
            </w:pPr>
            <w:r>
              <w:rPr>
                <w:rFonts w:hint="eastAsia" w:ascii="仿宋_GB2312" w:hAnsi="仿宋" w:eastAsia="仿宋_GB2312" w:cs="仿宋_GB2312"/>
                <w:sz w:val="20"/>
                <w:szCs w:val="20"/>
              </w:rPr>
              <w:t>社会公众或服务对象是指因该项目实施而受到影响的部门（单位）、群体或个人。一般采取社会调查的方式。</w:t>
            </w:r>
          </w:p>
        </w:tc>
        <w:tc>
          <w:tcPr>
            <w:tcW w:w="690"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1EDBBFCD">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c>
          <w:tcPr>
            <w:tcW w:w="702" w:type="dxa"/>
            <w:tcBorders>
              <w:top w:val="nil"/>
              <w:left w:val="single" w:color="auto" w:sz="8" w:space="0"/>
              <w:bottom w:val="single" w:color="auto" w:sz="8" w:space="0"/>
              <w:right w:val="single" w:color="auto" w:sz="8" w:space="0"/>
            </w:tcBorders>
            <w:tcMar>
              <w:top w:w="10" w:type="dxa"/>
              <w:left w:w="10" w:type="dxa"/>
              <w:bottom w:w="0" w:type="dxa"/>
              <w:right w:w="10" w:type="dxa"/>
            </w:tcMar>
            <w:vAlign w:val="center"/>
          </w:tcPr>
          <w:p w14:paraId="2DCF988C">
            <w:pPr>
              <w:pStyle w:val="4"/>
              <w:keepNext w:val="0"/>
              <w:keepLines w:val="0"/>
              <w:pageBreakBefore w:val="0"/>
              <w:widowControl/>
              <w:kinsoku/>
              <w:wordWrap/>
              <w:overflowPunct/>
              <w:topLinePunct w:val="0"/>
              <w:bidi w:val="0"/>
              <w:adjustRightInd/>
              <w:snapToGrid/>
              <w:spacing w:before="0" w:beforeAutospacing="0" w:after="0" w:afterAutospacing="0" w:line="240" w:lineRule="auto"/>
              <w:ind w:left="105" w:right="105"/>
              <w:jc w:val="both"/>
              <w:textAlignment w:val="auto"/>
              <w:rPr>
                <w:rFonts w:hint="eastAsia" w:ascii="仿宋_GB2312" w:hAnsi="仿宋" w:eastAsia="仿宋_GB2312" w:cs="仿宋_GB2312"/>
                <w:sz w:val="20"/>
                <w:szCs w:val="20"/>
                <w:lang w:val="en-US" w:eastAsia="zh-CN"/>
              </w:rPr>
            </w:pPr>
            <w:r>
              <w:rPr>
                <w:rFonts w:hint="eastAsia" w:ascii="仿宋_GB2312" w:hAnsi="仿宋" w:eastAsia="仿宋_GB2312" w:cs="仿宋_GB2312"/>
                <w:sz w:val="20"/>
                <w:szCs w:val="20"/>
                <w:lang w:val="en-US" w:eastAsia="zh-CN"/>
              </w:rPr>
              <w:t>5</w:t>
            </w:r>
          </w:p>
        </w:tc>
      </w:tr>
    </w:tbl>
    <w:p w14:paraId="0A335480">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黑体" w:hAnsi="黑体" w:eastAsia="黑体" w:cs="黑体"/>
          <w:sz w:val="28"/>
          <w:szCs w:val="28"/>
          <w:lang w:val="en-US" w:eastAsia="zh-CN"/>
        </w:rPr>
      </w:pPr>
      <w:r>
        <w:rPr>
          <w:rFonts w:hint="eastAsia" w:ascii="仿宋_GB2312" w:hAnsi="仿宋_GB2312" w:eastAsia="仿宋_GB2312" w:cs="仿宋_GB2312"/>
          <w:sz w:val="28"/>
          <w:szCs w:val="28"/>
          <w:lang w:eastAsia="zh-CN"/>
        </w:rPr>
        <w:t>结合上述评价表格及结果，通过绩效评价小组研判，确定</w:t>
      </w:r>
      <w:r>
        <w:rPr>
          <w:rFonts w:hint="eastAsia" w:ascii="仿宋_GB2312" w:hAnsi="仿宋_GB2312" w:eastAsia="仿宋_GB2312" w:cs="仿宋_GB2312"/>
          <w:sz w:val="28"/>
          <w:szCs w:val="28"/>
          <w:lang w:val="en-US" w:eastAsia="zh-CN"/>
        </w:rPr>
        <w:t>老科协科普活动经费项目</w:t>
      </w:r>
      <w:r>
        <w:rPr>
          <w:rFonts w:hint="eastAsia" w:ascii="仿宋_GB2312" w:hAnsi="仿宋_GB2312" w:eastAsia="仿宋_GB2312" w:cs="仿宋_GB2312"/>
          <w:sz w:val="28"/>
          <w:szCs w:val="28"/>
          <w:lang w:eastAsia="zh-CN"/>
        </w:rPr>
        <w:t>评价结果为：优。</w:t>
      </w:r>
    </w:p>
    <w:p w14:paraId="3B9FB54E">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4、绩效评价指标分析</w:t>
      </w:r>
    </w:p>
    <w:p w14:paraId="3276F637">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（1）项目决策情况。</w:t>
      </w:r>
    </w:p>
    <w:p w14:paraId="1FB89B5E">
      <w:pPr>
        <w:pStyle w:val="4"/>
        <w:keepNext w:val="0"/>
        <w:keepLines w:val="0"/>
        <w:pageBreakBefore w:val="0"/>
        <w:widowControl/>
        <w:kinsoku/>
        <w:wordWrap/>
        <w:overflowPunct/>
        <w:topLinePunct w:val="0"/>
        <w:autoSpaceDE w:val="0"/>
        <w:autoSpaceDN w:val="0"/>
        <w:bidi w:val="0"/>
        <w:adjustRightInd/>
        <w:snapToGrid/>
        <w:spacing w:before="0" w:beforeAutospacing="0" w:after="0" w:afterAutospacing="0" w:line="240" w:lineRule="auto"/>
        <w:ind w:firstLine="640"/>
        <w:jc w:val="both"/>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该项目立项依据充分，主要根据法律法规和部门职能职责。立项程序规范，设立的绩效目标与老科协实际工作安排紧密结合，具有合理性和明确性。资金投入2024年市本级财政预算安排22.8万元，资金到位率和执行率99.82%，体现了预算编制的科学性。</w:t>
      </w:r>
    </w:p>
    <w:p w14:paraId="3B5658B5">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default"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（2）项目过程情况。</w:t>
      </w:r>
    </w:p>
    <w:p w14:paraId="54029910">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该项目资金到位率100%，资金使用严格按照年初预算执行，并符合国家财经法规、经费支出管理办法和机关财务管理制度。保障项目实施的财务和业务管理制度健全完善，项目实施过程严格执行相关管理制度规定，做到了手续完备，资料齐全。</w:t>
      </w:r>
    </w:p>
    <w:p w14:paraId="3AF611AA">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（3）项目产出情况。</w:t>
      </w:r>
    </w:p>
    <w:p w14:paraId="1C9D1505">
      <w:pPr>
        <w:keepNext w:val="0"/>
        <w:keepLines w:val="0"/>
        <w:pageBreakBefore w:val="0"/>
        <w:numPr>
          <w:ilvl w:val="0"/>
          <w:numId w:val="0"/>
        </w:numPr>
        <w:kinsoku/>
        <w:wordWrap/>
        <w:overflowPunct/>
        <w:topLinePunct w:val="0"/>
        <w:bidi w:val="0"/>
        <w:adjustRightInd/>
        <w:snapToGrid/>
        <w:spacing w:line="240" w:lineRule="auto"/>
        <w:ind w:firstLine="64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该项目预算资金</w:t>
      </w:r>
      <w:r>
        <w:rPr>
          <w:rFonts w:hint="eastAsia" w:ascii="仿宋_GB2312" w:hAnsi="仿宋_GB2312" w:eastAsia="仿宋_GB2312" w:cs="仿宋_GB2312"/>
          <w:sz w:val="28"/>
          <w:szCs w:val="28"/>
          <w:lang w:val="en-US" w:eastAsia="zh-CN"/>
        </w:rPr>
        <w:t>22.8万元，实际支出22.76万元，该项目中农村牧区科普培训、社区科普大学培训、小科技园项目示范试种等工作完成及时，质量优秀，达到了预期效果。成本控制方面，每项工作均在预算范围之内。</w:t>
      </w:r>
    </w:p>
    <w:p w14:paraId="07340569">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（4）项目效益情况。</w:t>
      </w:r>
    </w:p>
    <w:p w14:paraId="0CDB2C2D">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该项目的社会效益显著，有效提高了社区居民的科学素质水平；农村牧区人口的种养殖技术水平。</w:t>
      </w:r>
    </w:p>
    <w:p w14:paraId="1CD2E3EF">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5、主要经验及做法</w:t>
      </w:r>
    </w:p>
    <w:p w14:paraId="2BAC82EA">
      <w:pPr>
        <w:keepNext w:val="0"/>
        <w:keepLines w:val="0"/>
        <w:pageBreakBefore w:val="0"/>
        <w:numPr>
          <w:ilvl w:val="0"/>
          <w:numId w:val="0"/>
        </w:numPr>
        <w:kinsoku/>
        <w:wordWrap/>
        <w:overflowPunct/>
        <w:topLinePunct w:val="0"/>
        <w:bidi w:val="0"/>
        <w:adjustRightInd/>
        <w:snapToGrid/>
        <w:spacing w:line="240" w:lineRule="auto"/>
        <w:ind w:firstLine="562" w:firstLineChars="200"/>
        <w:textAlignment w:val="auto"/>
        <w:rPr>
          <w:rFonts w:hint="eastAsia" w:ascii="方正楷体简体" w:hAnsi="方正楷体简体" w:eastAsia="方正楷体简体" w:cs="方正楷体简体"/>
          <w:b/>
          <w:bCs/>
          <w:sz w:val="28"/>
          <w:szCs w:val="28"/>
          <w:lang w:val="en-US" w:eastAsia="zh-CN"/>
        </w:rPr>
      </w:pPr>
      <w:r>
        <w:rPr>
          <w:rFonts w:hint="eastAsia" w:ascii="方正楷体简体" w:hAnsi="方正楷体简体" w:eastAsia="方正楷体简体" w:cs="方正楷体简体"/>
          <w:b/>
          <w:bCs/>
          <w:sz w:val="28"/>
          <w:szCs w:val="28"/>
          <w:lang w:val="en-US" w:eastAsia="zh-CN"/>
        </w:rPr>
        <w:t>主要经验及做法</w:t>
      </w:r>
    </w:p>
    <w:p w14:paraId="112A6725">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高度重视，加强组织领导</w:t>
      </w:r>
      <w:r>
        <w:rPr>
          <w:rFonts w:hint="eastAsia" w:ascii="仿宋_GB2312" w:hAnsi="仿宋_GB2312" w:eastAsia="仿宋_GB2312" w:cs="仿宋_GB2312"/>
          <w:sz w:val="28"/>
          <w:szCs w:val="28"/>
          <w:lang w:eastAsia="zh-CN"/>
        </w:rPr>
        <w:t>。</w:t>
      </w:r>
    </w:p>
    <w:p w14:paraId="7A452B75">
      <w:pPr>
        <w:keepNext w:val="0"/>
        <w:keepLines w:val="0"/>
        <w:pageBreakBefore w:val="0"/>
        <w:kinsoku/>
        <w:wordWrap/>
        <w:overflowPunct/>
        <w:topLinePunct w:val="0"/>
        <w:autoSpaceDE/>
        <w:autoSpaceDN/>
        <w:bidi w:val="0"/>
        <w:adjustRightInd/>
        <w:snapToGrid/>
        <w:spacing w:line="240" w:lineRule="auto"/>
        <w:ind w:firstLine="64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为认真抓好绩效评价工作，成立绩效评价工作组，负责绩效评价方面的日常工作。</w:t>
      </w:r>
    </w:p>
    <w:p w14:paraId="3D69BD5C">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联系实际，科学安排，强力推进</w:t>
      </w:r>
      <w:r>
        <w:rPr>
          <w:rFonts w:hint="eastAsia" w:ascii="仿宋_GB2312" w:hAnsi="仿宋_GB2312" w:eastAsia="仿宋_GB2312" w:cs="仿宋_GB2312"/>
          <w:sz w:val="28"/>
          <w:szCs w:val="28"/>
          <w:lang w:eastAsia="zh-CN"/>
        </w:rPr>
        <w:t>。</w:t>
      </w:r>
    </w:p>
    <w:p w14:paraId="5C648702">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注重</w:t>
      </w:r>
      <w:r>
        <w:rPr>
          <w:rFonts w:hint="eastAsia" w:ascii="仿宋_GB2312" w:hAnsi="仿宋_GB2312" w:eastAsia="仿宋_GB2312" w:cs="仿宋_GB2312"/>
          <w:sz w:val="28"/>
          <w:szCs w:val="28"/>
          <w:lang w:val="en-US" w:eastAsia="zh-CN"/>
        </w:rPr>
        <w:t>将</w:t>
      </w:r>
      <w:r>
        <w:rPr>
          <w:rFonts w:hint="eastAsia" w:ascii="仿宋_GB2312" w:hAnsi="仿宋_GB2312" w:eastAsia="仿宋_GB2312" w:cs="仿宋_GB2312"/>
          <w:sz w:val="28"/>
          <w:szCs w:val="28"/>
        </w:rPr>
        <w:t>思想教育和具体业务工作相结合</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绩效评价</w:t>
      </w:r>
      <w:r>
        <w:rPr>
          <w:rFonts w:hint="eastAsia" w:ascii="仿宋_GB2312" w:hAnsi="仿宋_GB2312" w:eastAsia="仿宋_GB2312" w:cs="仿宋_GB2312"/>
          <w:sz w:val="28"/>
          <w:szCs w:val="28"/>
          <w:lang w:val="en-US" w:eastAsia="zh-CN"/>
        </w:rPr>
        <w:t>工作</w:t>
      </w:r>
      <w:r>
        <w:rPr>
          <w:rFonts w:hint="eastAsia" w:ascii="仿宋_GB2312" w:hAnsi="仿宋_GB2312" w:eastAsia="仿宋_GB2312" w:cs="仿宋_GB2312"/>
          <w:sz w:val="28"/>
          <w:szCs w:val="28"/>
        </w:rPr>
        <w:t>组注重并坚持做到把加强绩效评价工作与党风廉政建设和反腐败工作结合起来，与纠正部门和行业不正之风、切实提高工作效能工作结合起来。坚持并做到把绩效评价工作与相关业务工作一起安排、一起落实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有效地促进了绩效评价工作</w:t>
      </w:r>
      <w:r>
        <w:rPr>
          <w:rFonts w:hint="eastAsia" w:ascii="仿宋_GB2312" w:hAnsi="仿宋_GB2312" w:eastAsia="仿宋_GB2312" w:cs="仿宋_GB2312"/>
          <w:sz w:val="28"/>
          <w:szCs w:val="28"/>
          <w:lang w:eastAsia="zh-CN"/>
        </w:rPr>
        <w:t>。</w:t>
      </w:r>
    </w:p>
    <w:p w14:paraId="25B3BF05">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6、有关建议</w:t>
      </w:r>
    </w:p>
    <w:p w14:paraId="4A3B222B">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lang w:eastAsia="zh-CN"/>
        </w:rPr>
        <w:t>）科学合理编制预算，严格执行预算。进一步提高预算编制到位率，做准做全基本支出预算，做全项目支出预算，加强预算支出的审核、跟踪及预算执行情况分析，提高预算编制严谨性和可控性。</w:t>
      </w:r>
    </w:p>
    <w:p w14:paraId="1324A0D8">
      <w:pPr>
        <w:keepNext w:val="0"/>
        <w:keepLines w:val="0"/>
        <w:pageBreakBefore w:val="0"/>
        <w:numPr>
          <w:ilvl w:val="0"/>
          <w:numId w:val="0"/>
        </w:numPr>
        <w:kinsoku/>
        <w:wordWrap/>
        <w:overflowPunct/>
        <w:topLinePunct w:val="0"/>
        <w:autoSpaceDE/>
        <w:autoSpaceDN/>
        <w:bidi w:val="0"/>
        <w:adjustRightInd/>
        <w:snapToGrid/>
        <w:spacing w:line="240" w:lineRule="auto"/>
        <w:ind w:firstLine="560" w:firstLineChars="200"/>
        <w:jc w:val="both"/>
        <w:textAlignment w:val="auto"/>
        <w:outlineLvl w:val="9"/>
        <w:rPr>
          <w:rFonts w:hint="eastAsia" w:ascii="黑体" w:hAnsi="宋体" w:eastAsia="黑体" w:cs="黑体"/>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lang w:eastAsia="zh-CN"/>
        </w:rPr>
        <w:t>）进一步加强项目资金管理。严格实行项目管理程序化，实现项目申报、实施、拨付、评价全流程监督与控制，规范专项资金管理，提高专项资金的使用效益。</w:t>
      </w:r>
    </w:p>
    <w:p w14:paraId="52BF88DA">
      <w:pPr>
        <w:keepNext w:val="0"/>
        <w:keepLines w:val="0"/>
        <w:pageBreakBefore w:val="0"/>
        <w:numPr>
          <w:ilvl w:val="0"/>
          <w:numId w:val="0"/>
        </w:numPr>
        <w:kinsoku/>
        <w:wordWrap/>
        <w:overflowPunct/>
        <w:topLinePunct w:val="0"/>
        <w:bidi w:val="0"/>
        <w:adjustRightInd/>
        <w:snapToGrid/>
        <w:spacing w:line="240" w:lineRule="auto"/>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7、其他需要说明的问题</w:t>
      </w:r>
    </w:p>
    <w:p w14:paraId="40310AFD">
      <w:pPr>
        <w:keepNext w:val="0"/>
        <w:keepLines w:val="0"/>
        <w:pageBreakBefore w:val="0"/>
        <w:numPr>
          <w:ilvl w:val="0"/>
          <w:numId w:val="0"/>
        </w:numPr>
        <w:kinsoku/>
        <w:wordWrap/>
        <w:overflowPunct/>
        <w:topLinePunct w:val="0"/>
        <w:bidi w:val="0"/>
        <w:adjustRightInd/>
        <w:snapToGrid/>
        <w:spacing w:line="240" w:lineRule="auto"/>
        <w:ind w:left="640" w:leftChars="0"/>
        <w:textAlignment w:val="auto"/>
        <w:rPr>
          <w:rFonts w:ascii="Times New Roman" w:hAnsi="Times New Roman" w:eastAsia="Times New Roman" w:cs="Times New Roman"/>
          <w:kern w:val="0"/>
          <w:sz w:val="22"/>
          <w:szCs w:val="22"/>
        </w:rPr>
      </w:pPr>
      <w:r>
        <w:rPr>
          <w:rFonts w:hint="eastAsia" w:ascii="仿宋_GB2312" w:hAnsi="仿宋_GB2312" w:eastAsia="仿宋_GB2312" w:cs="仿宋_GB2312"/>
          <w:sz w:val="28"/>
          <w:szCs w:val="28"/>
          <w:lang w:val="en-US" w:eastAsia="zh-CN"/>
        </w:rPr>
        <w:t>无。</w:t>
      </w:r>
    </w:p>
    <w:p w14:paraId="7D11F2C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方正楷体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8F0278"/>
    <w:rsid w:val="338F0278"/>
    <w:rsid w:val="55127B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after="120"/>
      <w:ind w:left="420" w:leftChars="200"/>
    </w:p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1099</Words>
  <Characters>1142</Characters>
  <Lines>0</Lines>
  <Paragraphs>0</Paragraphs>
  <TotalTime>3</TotalTime>
  <ScaleCrop>false</ScaleCrop>
  <LinksUpToDate>false</LinksUpToDate>
  <CharactersWithSpaces>1143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2025-09-23T07:37:00Z</dcterms:created>
  <dc:creator>little why</dc:creator>
  <cp:lastModifiedBy>little why</cp:lastModifiedBy>
  <dcterms:modified xsi:type="dcterms:W3CDTF">2025-09-23T11:14:36Z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4127F9D1102B480391D754C829B86B2E_11</vt:lpwstr>
  </property>
  <property fmtid="{D5CDD505-2E9C-101B-9397-08002B2CF9AE}" pid="4" name="KSOTemplateDocerSaveRecord">
    <vt:lpwstr>eyJoZGlkIjoiMjg1NDVlZjNkOGNlMGM2MGFiZmU1ZWQwZWRmNTliZDMiLCJ1c2VySWQiOiIyNTEwNDI2NDYifQ==</vt:lpwstr>
  </property>
</Properties>
</file>