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4B1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285A62A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小标宋简体" w:hAnsi="方正小标宋简体" w:eastAsia="方正小标宋简体" w:cs="方正小标宋简体"/>
          <w:sz w:val="48"/>
          <w:szCs w:val="48"/>
          <w:lang w:val="en-US" w:eastAsia="zh-CN"/>
        </w:rPr>
      </w:pPr>
    </w:p>
    <w:p w14:paraId="27E6F4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532C8F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通辽市科协“科普行动计划工作经费”项目支出绩效评价报告</w:t>
      </w:r>
    </w:p>
    <w:p w14:paraId="050B4E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44DF85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4EC996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01846B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006A162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小标宋简体" w:hAnsi="方正小标宋简体" w:eastAsia="方正小标宋简体" w:cs="方正小标宋简体"/>
          <w:sz w:val="44"/>
          <w:szCs w:val="44"/>
          <w:lang w:val="en-US" w:eastAsia="zh-CN"/>
        </w:rPr>
      </w:pPr>
    </w:p>
    <w:p w14:paraId="2F6A447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32"/>
          <w:szCs w:val="32"/>
          <w:lang w:val="en-US" w:eastAsia="zh-CN"/>
        </w:rPr>
      </w:pPr>
    </w:p>
    <w:p w14:paraId="202F95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部门名称：</w:t>
      </w:r>
      <w:r>
        <w:rPr>
          <w:rFonts w:hint="eastAsia" w:ascii="仿宋_GB2312" w:hAnsi="仿宋_GB2312" w:eastAsia="仿宋_GB2312" w:cs="仿宋_GB2312"/>
          <w:b w:val="0"/>
          <w:bCs w:val="0"/>
          <w:sz w:val="32"/>
          <w:szCs w:val="32"/>
          <w:lang w:val="en-US" w:eastAsia="zh-CN"/>
        </w:rPr>
        <w:t>通辽市科学技术协会</w:t>
      </w:r>
    </w:p>
    <w:p w14:paraId="1AB008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p>
    <w:p w14:paraId="214763F9">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val="0"/>
          <w:bCs w:val="0"/>
          <w:sz w:val="32"/>
          <w:szCs w:val="32"/>
          <w:lang w:val="en-US" w:eastAsia="zh-CN"/>
        </w:rPr>
      </w:pPr>
    </w:p>
    <w:p w14:paraId="51F6D3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p>
    <w:p w14:paraId="100C9F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2025年9月23日</w:t>
      </w:r>
    </w:p>
    <w:p w14:paraId="5D9F8D72">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黑体" w:hAnsi="黑体" w:eastAsia="黑体" w:cs="黑体"/>
          <w:sz w:val="32"/>
          <w:szCs w:val="32"/>
          <w:lang w:val="en-US" w:eastAsia="zh-CN"/>
        </w:rPr>
      </w:pPr>
    </w:p>
    <w:p w14:paraId="1A6DD118">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sectPr>
          <w:pgSz w:w="11906" w:h="16838"/>
          <w:pgMar w:top="1440" w:right="1800" w:bottom="1440" w:left="1800" w:header="851" w:footer="992" w:gutter="0"/>
          <w:pgNumType w:fmt="decimal"/>
          <w:cols w:space="425" w:num="1"/>
          <w:docGrid w:type="lines" w:linePitch="312" w:charSpace="0"/>
        </w:sectPr>
      </w:pPr>
    </w:p>
    <w:p w14:paraId="671192DA">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一、基本情况</w:t>
      </w:r>
    </w:p>
    <w:p w14:paraId="52BB8AD2">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（一）项目概况</w:t>
      </w:r>
    </w:p>
    <w:p w14:paraId="6717F709">
      <w:pPr>
        <w:spacing w:line="620" w:lineRule="exact"/>
        <w:ind w:firstLine="1060" w:firstLineChars="33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项目背景：</w:t>
      </w:r>
      <w:r>
        <w:rPr>
          <w:rFonts w:hint="eastAsia" w:ascii="仿宋_GB2312" w:hAnsi="仿宋_GB2312" w:eastAsia="仿宋_GB2312" w:cs="仿宋_GB2312"/>
          <w:color w:val="auto"/>
          <w:sz w:val="32"/>
          <w:szCs w:val="32"/>
          <w:lang w:eastAsia="zh-CN"/>
        </w:rPr>
        <w:t>为了深入贯彻落实</w:t>
      </w:r>
      <w:r>
        <w:rPr>
          <w:rFonts w:hint="eastAsia" w:ascii="仿宋_GB2312" w:hAnsi="仿宋_GB2312" w:eastAsia="仿宋_GB2312" w:cs="仿宋_GB2312"/>
          <w:color w:val="auto"/>
          <w:sz w:val="32"/>
          <w:szCs w:val="32"/>
          <w:lang w:val="en-US" w:eastAsia="zh-CN"/>
        </w:rPr>
        <w:t>《中华人民共和国科学技术普及法》</w:t>
      </w:r>
      <w:r>
        <w:rPr>
          <w:rFonts w:hint="eastAsia" w:ascii="仿宋_GB2312" w:hAnsi="仿宋_GB2312" w:eastAsia="仿宋_GB2312" w:cs="仿宋_GB2312"/>
          <w:color w:val="auto"/>
          <w:sz w:val="32"/>
          <w:szCs w:val="32"/>
          <w:lang w:eastAsia="zh-CN"/>
        </w:rPr>
        <w:t>《全民科学素质行动规划纲要（2021-2035年）》</w:t>
      </w:r>
      <w:r>
        <w:rPr>
          <w:rFonts w:hint="eastAsia" w:ascii="仿宋_GB2312" w:hAnsi="仿宋_GB2312" w:eastAsia="仿宋_GB2312" w:cs="仿宋_GB2312"/>
          <w:color w:val="auto"/>
          <w:sz w:val="32"/>
          <w:szCs w:val="32"/>
          <w:lang w:val="en-US" w:eastAsia="zh-CN"/>
        </w:rPr>
        <w:t>《内蒙古自治区科学技术普及条例》的精神，全面提升五大人群科学素质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2024年安排市本级财政预算91万元作为科普行动计划工作经费。</w:t>
      </w:r>
    </w:p>
    <w:p w14:paraId="3182D5B1">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sz w:val="32"/>
          <w:szCs w:val="32"/>
          <w:lang w:val="en-US" w:eastAsia="zh-CN"/>
        </w:rPr>
      </w:pPr>
      <w:r>
        <w:rPr>
          <w:rFonts w:hint="eastAsia" w:ascii="仿宋_GB2312" w:hAnsi="仿宋_GB2312" w:eastAsia="仿宋_GB2312" w:cs="仿宋_GB2312"/>
          <w:b/>
          <w:bCs/>
          <w:color w:val="auto"/>
          <w:sz w:val="32"/>
          <w:szCs w:val="32"/>
          <w:lang w:val="en-US" w:eastAsia="zh-CN"/>
        </w:rPr>
        <w:t>主要内容：</w:t>
      </w:r>
      <w:r>
        <w:rPr>
          <w:rFonts w:hint="eastAsia" w:ascii="仿宋_GB2312" w:hAnsi="仿宋_GB2312" w:eastAsia="仿宋_GB2312" w:cs="仿宋_GB2312"/>
          <w:color w:val="auto"/>
          <w:sz w:val="32"/>
          <w:szCs w:val="32"/>
          <w:lang w:val="en-US" w:eastAsia="zh-CN"/>
        </w:rPr>
        <w:t>科普行动计划工作经费</w:t>
      </w:r>
      <w:r>
        <w:rPr>
          <w:rFonts w:hint="eastAsia" w:ascii="仿宋_GB2312" w:hAnsi="仿宋_GB2312" w:eastAsia="仿宋_GB2312" w:cs="仿宋_GB2312"/>
          <w:b w:val="0"/>
          <w:bCs w:val="0"/>
          <w:color w:val="auto"/>
          <w:sz w:val="32"/>
          <w:szCs w:val="32"/>
          <w:lang w:val="en-US" w:eastAsia="zh-CN"/>
        </w:rPr>
        <w:t>，主要用于</w:t>
      </w:r>
      <w:r>
        <w:rPr>
          <w:rFonts w:hint="eastAsia" w:ascii="仿宋_GB2312" w:hAnsi="仿宋_GB2312" w:eastAsia="仿宋_GB2312" w:cs="仿宋_GB2312"/>
          <w:color w:val="auto"/>
          <w:sz w:val="32"/>
          <w:szCs w:val="32"/>
          <w:lang w:val="en-US" w:eastAsia="zh-CN"/>
        </w:rPr>
        <w:t>开展农牧民实用技术培训和技术指导、社区居民和老年人科普讲座、青少年科普报告和科普讲座、产业工人科技培训、领导干部和公务员科普报告等活动</w:t>
      </w:r>
      <w:r>
        <w:rPr>
          <w:rFonts w:hint="eastAsia" w:ascii="仿宋_GB2312" w:hAnsi="仿宋" w:eastAsia="仿宋_GB2312" w:cs="仿宋"/>
          <w:sz w:val="32"/>
          <w:szCs w:val="32"/>
          <w:lang w:val="en-US" w:eastAsia="zh-CN"/>
        </w:rPr>
        <w:t>。</w:t>
      </w:r>
    </w:p>
    <w:p w14:paraId="3027EB50">
      <w:pPr>
        <w:keepNext w:val="0"/>
        <w:keepLines w:val="0"/>
        <w:pageBreakBefore w:val="0"/>
        <w:kinsoku/>
        <w:wordWrap/>
        <w:overflowPunct/>
        <w:topLinePunct w:val="0"/>
        <w:bidi w:val="0"/>
        <w:adjustRightInd/>
        <w:snapToGrid/>
        <w:spacing w:line="240" w:lineRule="auto"/>
        <w:ind w:firstLine="643" w:firstLineChars="200"/>
        <w:textAlignment w:val="auto"/>
        <w:rPr>
          <w:rFonts w:hint="default"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实施情况：</w:t>
      </w:r>
      <w:r>
        <w:rPr>
          <w:rFonts w:hint="eastAsia" w:ascii="仿宋" w:hAnsi="仿宋" w:eastAsia="仿宋" w:cs="仿宋"/>
          <w:color w:val="auto"/>
          <w:sz w:val="32"/>
          <w:szCs w:val="32"/>
          <w:lang w:val="en-US" w:eastAsia="zh-CN"/>
        </w:rPr>
        <w:t>通辽市科学技术协会全年陆续</w:t>
      </w:r>
      <w:r>
        <w:rPr>
          <w:rFonts w:hint="eastAsia" w:ascii="仿宋_GB2312" w:hAnsi="仿宋" w:eastAsia="仿宋_GB2312" w:cs="仿宋"/>
          <w:color w:val="auto"/>
          <w:sz w:val="32"/>
          <w:szCs w:val="32"/>
          <w:lang w:val="en-US" w:eastAsia="zh-CN"/>
        </w:rPr>
        <w:t>开</w:t>
      </w:r>
      <w:r>
        <w:rPr>
          <w:rFonts w:hint="eastAsia" w:ascii="仿宋" w:hAnsi="仿宋" w:eastAsia="仿宋" w:cs="仿宋"/>
          <w:color w:val="auto"/>
          <w:sz w:val="32"/>
          <w:szCs w:val="32"/>
          <w:lang w:val="en-US" w:eastAsia="zh-CN"/>
        </w:rPr>
        <w:t>展主题品牌科普活动开展3次，联合4个学会开展科普科技推广活动，3.学术交流活动4次，提升全民科学素质活动3次，为创新驱动发展服务活动3次，均实现预期目标。</w:t>
      </w:r>
    </w:p>
    <w:p w14:paraId="7D8628E1">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 w:hAnsi="仿宋" w:eastAsia="仿宋" w:cs="仿宋"/>
          <w:color w:val="auto"/>
          <w:sz w:val="32"/>
          <w:szCs w:val="32"/>
          <w:lang w:val="en-US" w:eastAsia="zh-CN"/>
        </w:rPr>
      </w:pPr>
      <w:r>
        <w:rPr>
          <w:rFonts w:hint="eastAsia" w:ascii="仿宋_GB2312" w:hAnsi="仿宋_GB2312" w:eastAsia="仿宋_GB2312" w:cs="仿宋_GB2312"/>
          <w:b/>
          <w:bCs/>
          <w:color w:val="auto"/>
          <w:sz w:val="32"/>
          <w:szCs w:val="32"/>
          <w:lang w:val="en-US" w:eastAsia="zh-CN"/>
        </w:rPr>
        <w:t>资金投入：</w:t>
      </w:r>
      <w:r>
        <w:rPr>
          <w:rFonts w:hint="eastAsia" w:ascii="仿宋_GB2312" w:hAnsi="仿宋" w:eastAsia="仿宋_GB2312" w:cs="仿宋"/>
          <w:color w:val="auto"/>
          <w:sz w:val="32"/>
          <w:szCs w:val="32"/>
          <w:lang w:eastAsia="zh-CN"/>
        </w:rPr>
        <w:t>财政预算</w:t>
      </w:r>
      <w:r>
        <w:rPr>
          <w:rFonts w:hint="eastAsia" w:ascii="仿宋_GB2312" w:hAnsi="仿宋" w:eastAsia="仿宋_GB2312" w:cs="仿宋"/>
          <w:color w:val="auto"/>
          <w:sz w:val="32"/>
          <w:szCs w:val="32"/>
          <w:lang w:val="en-US" w:eastAsia="zh-CN"/>
        </w:rPr>
        <w:t>资</w:t>
      </w:r>
      <w:r>
        <w:rPr>
          <w:rFonts w:hint="eastAsia" w:ascii="仿宋_GB2312" w:hAnsi="仿宋" w:eastAsia="仿宋_GB2312" w:cs="仿宋"/>
          <w:color w:val="auto"/>
          <w:sz w:val="32"/>
          <w:szCs w:val="32"/>
          <w:lang w:eastAsia="zh-CN"/>
        </w:rPr>
        <w:t>金安排</w:t>
      </w:r>
      <w:r>
        <w:rPr>
          <w:rFonts w:hint="eastAsia" w:ascii="仿宋_GB2312" w:hAnsi="仿宋" w:eastAsia="仿宋_GB2312" w:cs="仿宋"/>
          <w:color w:val="auto"/>
          <w:sz w:val="32"/>
          <w:szCs w:val="32"/>
          <w:lang w:val="en-US" w:eastAsia="zh-CN"/>
        </w:rPr>
        <w:t>102万元，实际拨付财政资金102万元。</w:t>
      </w:r>
      <w:r>
        <w:rPr>
          <w:rFonts w:hint="eastAsia" w:ascii="仿宋" w:hAnsi="仿宋" w:eastAsia="仿宋" w:cs="仿宋"/>
          <w:color w:val="auto"/>
          <w:sz w:val="32"/>
          <w:szCs w:val="32"/>
          <w:lang w:val="en-US" w:eastAsia="zh-CN"/>
        </w:rPr>
        <w:t>通辽市科学技术</w:t>
      </w:r>
      <w:r>
        <w:rPr>
          <w:rFonts w:hint="eastAsia" w:ascii="仿宋" w:hAnsi="仿宋" w:eastAsia="仿宋" w:cs="仿宋"/>
          <w:color w:val="auto"/>
          <w:sz w:val="32"/>
          <w:szCs w:val="32"/>
          <w:lang w:eastAsia="zh-CN"/>
        </w:rPr>
        <w:t>协会</w:t>
      </w:r>
      <w:r>
        <w:rPr>
          <w:rFonts w:hint="eastAsia" w:ascii="仿宋" w:hAnsi="仿宋" w:eastAsia="仿宋" w:cs="仿宋"/>
          <w:color w:val="auto"/>
          <w:sz w:val="32"/>
          <w:szCs w:val="32"/>
          <w:lang w:val="en-US" w:eastAsia="zh-CN"/>
        </w:rPr>
        <w:t>使用此经费。</w:t>
      </w:r>
    </w:p>
    <w:p w14:paraId="7044D851">
      <w:pPr>
        <w:keepNext w:val="0"/>
        <w:keepLines w:val="0"/>
        <w:pageBreakBefore w:val="0"/>
        <w:kinsoku/>
        <w:wordWrap/>
        <w:overflowPunct/>
        <w:topLinePunct w:val="0"/>
        <w:bidi w:val="0"/>
        <w:adjustRightInd/>
        <w:snapToGrid/>
        <w:spacing w:line="240" w:lineRule="auto"/>
        <w:ind w:firstLine="643" w:firstLineChars="200"/>
        <w:textAlignment w:val="auto"/>
        <w:rPr>
          <w:rFonts w:hint="eastAsia" w:ascii="仿宋_GB2312" w:hAnsi="仿宋" w:eastAsia="仿宋_GB2312" w:cs="仿宋"/>
          <w:color w:val="auto"/>
          <w:sz w:val="32"/>
          <w:szCs w:val="32"/>
        </w:rPr>
      </w:pPr>
      <w:r>
        <w:rPr>
          <w:rFonts w:hint="eastAsia" w:ascii="仿宋_GB2312" w:hAnsi="仿宋_GB2312" w:eastAsia="仿宋_GB2312" w:cs="仿宋_GB2312"/>
          <w:b/>
          <w:bCs/>
          <w:color w:val="auto"/>
          <w:sz w:val="32"/>
          <w:szCs w:val="32"/>
          <w:lang w:val="en-US" w:eastAsia="zh-CN"/>
        </w:rPr>
        <w:t>使用情况：</w:t>
      </w:r>
      <w:r>
        <w:rPr>
          <w:rFonts w:hint="eastAsia" w:ascii="仿宋" w:hAnsi="仿宋" w:eastAsia="仿宋" w:cs="仿宋"/>
          <w:color w:val="auto"/>
          <w:sz w:val="32"/>
          <w:szCs w:val="32"/>
          <w:lang w:val="en-US" w:eastAsia="zh-CN"/>
        </w:rPr>
        <w:t>所有项目经费</w:t>
      </w:r>
      <w:r>
        <w:rPr>
          <w:rFonts w:hint="eastAsia" w:ascii="仿宋_GB2312" w:hAnsi="仿宋" w:eastAsia="仿宋_GB2312" w:cs="仿宋"/>
          <w:color w:val="auto"/>
          <w:sz w:val="32"/>
          <w:szCs w:val="32"/>
          <w:lang w:val="en-US" w:eastAsia="zh-CN"/>
        </w:rPr>
        <w:t>全部支出，用于市科协安排的各项科普活动。</w:t>
      </w:r>
    </w:p>
    <w:p w14:paraId="47D5DA85">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（二）项目年度预算绩效目标</w:t>
      </w:r>
    </w:p>
    <w:p w14:paraId="7797109B">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预期目标：为完成部门职能职责，完成年度工作任务，达成以下目标：主题品牌科普活动3次；建设科普工作示范点3个；联合2个学会开展科普科技推广活动；学术交流活动3次；提升全民科学素质活动3次；为创新驱动发展服务活动2次；年度工作计划完成率90%；年度预算金额91万元。</w:t>
      </w:r>
    </w:p>
    <w:p w14:paraId="2AB49CFA">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二、绩效评价工作开展情况</w:t>
      </w:r>
    </w:p>
    <w:p w14:paraId="7C57ECBD">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（一）绩效评价目的、对象和范围</w:t>
      </w:r>
    </w:p>
    <w:p w14:paraId="4C1602B7">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为全面实施预算绩效管理，细化规范项目支出绩效评价工作业务流程，切实提高绩效评价工作质量和水平。根据当年财政下达的一般公共预算，结合</w:t>
      </w:r>
      <w:r>
        <w:rPr>
          <w:rFonts w:hint="eastAsia" w:ascii="仿宋_GB2312" w:hAnsi="仿宋" w:eastAsia="仿宋_GB2312" w:cs="仿宋"/>
          <w:sz w:val="32"/>
          <w:szCs w:val="32"/>
          <w:lang w:val="en-US" w:eastAsia="zh-CN"/>
        </w:rPr>
        <w:t>工作</w:t>
      </w:r>
      <w:r>
        <w:rPr>
          <w:rFonts w:hint="eastAsia" w:ascii="仿宋_GB2312" w:hAnsi="仿宋" w:eastAsia="仿宋_GB2312" w:cs="仿宋"/>
          <w:sz w:val="32"/>
          <w:szCs w:val="32"/>
          <w:lang w:eastAsia="zh-CN"/>
        </w:rPr>
        <w:t>实际，对</w:t>
      </w:r>
      <w:r>
        <w:rPr>
          <w:rFonts w:hint="eastAsia" w:ascii="仿宋_GB2312" w:hAnsi="仿宋" w:eastAsia="仿宋_GB2312" w:cs="仿宋"/>
          <w:sz w:val="32"/>
          <w:szCs w:val="32"/>
          <w:lang w:val="en-US" w:eastAsia="zh-CN"/>
        </w:rPr>
        <w:t>提升重点人群科学素质</w:t>
      </w:r>
      <w:r>
        <w:rPr>
          <w:rFonts w:hint="eastAsia" w:ascii="仿宋_GB2312" w:hAnsi="仿宋" w:eastAsia="仿宋_GB2312" w:cs="仿宋"/>
          <w:sz w:val="32"/>
          <w:szCs w:val="32"/>
          <w:lang w:eastAsia="zh-CN"/>
        </w:rPr>
        <w:t>项目支出</w:t>
      </w:r>
      <w:r>
        <w:rPr>
          <w:rFonts w:hint="eastAsia" w:ascii="仿宋_GB2312" w:hAnsi="仿宋" w:eastAsia="仿宋_GB2312" w:cs="仿宋"/>
          <w:sz w:val="32"/>
          <w:szCs w:val="32"/>
          <w:lang w:val="en-US" w:eastAsia="zh-CN"/>
        </w:rPr>
        <w:t>开展</w:t>
      </w:r>
      <w:r>
        <w:rPr>
          <w:rFonts w:hint="eastAsia" w:ascii="仿宋_GB2312" w:hAnsi="仿宋" w:eastAsia="仿宋_GB2312" w:cs="仿宋"/>
          <w:sz w:val="32"/>
          <w:szCs w:val="32"/>
          <w:lang w:eastAsia="zh-CN"/>
        </w:rPr>
        <w:t>绩效评价。</w:t>
      </w:r>
    </w:p>
    <w:p w14:paraId="11D27BD7">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（二）绩效评价原则、评价指标体系、评价方法等。</w:t>
      </w:r>
    </w:p>
    <w:p w14:paraId="225C3C55">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评价原则：</w:t>
      </w:r>
    </w:p>
    <w:p w14:paraId="6B60B2F4">
      <w:pPr>
        <w:pStyle w:val="5"/>
        <w:keepNext w:val="0"/>
        <w:keepLines w:val="0"/>
        <w:pageBreakBefore w:val="0"/>
        <w:widowControl/>
        <w:numPr>
          <w:ilvl w:val="0"/>
          <w:numId w:val="1"/>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科学公正。绩效评价应当运用科学合理的方法，按照规范的程序，对项目绩效进行客观、公正的反映;</w:t>
      </w:r>
    </w:p>
    <w:p w14:paraId="41BFBA16">
      <w:pPr>
        <w:pStyle w:val="5"/>
        <w:keepNext w:val="0"/>
        <w:keepLines w:val="0"/>
        <w:pageBreakBefore w:val="0"/>
        <w:widowControl/>
        <w:numPr>
          <w:ilvl w:val="0"/>
          <w:numId w:val="1"/>
        </w:numPr>
        <w:kinsoku/>
        <w:wordWrap/>
        <w:overflowPunct/>
        <w:topLinePunct w:val="0"/>
        <w:autoSpaceDE w:val="0"/>
        <w:autoSpaceDN w:val="0"/>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统筹兼顾。部门评价在单位自评的基础上开展；</w:t>
      </w:r>
    </w:p>
    <w:p w14:paraId="1668648F">
      <w:pPr>
        <w:pStyle w:val="5"/>
        <w:keepNext w:val="0"/>
        <w:keepLines w:val="0"/>
        <w:pageBreakBefore w:val="0"/>
        <w:widowControl/>
        <w:numPr>
          <w:ilvl w:val="0"/>
          <w:numId w:val="1"/>
        </w:numPr>
        <w:kinsoku/>
        <w:wordWrap/>
        <w:overflowPunct/>
        <w:topLinePunct w:val="0"/>
        <w:autoSpaceDE w:val="0"/>
        <w:autoSpaceDN w:val="0"/>
        <w:bidi w:val="0"/>
        <w:adjustRightInd/>
        <w:snapToGrid/>
        <w:spacing w:before="0" w:beforeAutospacing="0" w:after="0" w:afterAutospacing="0"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激励约束。绩效评价结果与预算安排、政策调整、改进管理实质性挂钩，体现奖优罚劣和激励相容导向，有效要安排、低效要压减、无效要问责；</w:t>
      </w:r>
    </w:p>
    <w:p w14:paraId="53FEB120">
      <w:pPr>
        <w:pStyle w:val="5"/>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4、公开透明。绩效评价结果依法依规公开，自觉接受社会监督。</w:t>
      </w:r>
    </w:p>
    <w:p w14:paraId="70C38409">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评价指标体系：采用通辽市本级项目支出绩效评价细则附件2的表格，结合部门实际，采用分点赋分制，确定优良等次。</w:t>
      </w:r>
    </w:p>
    <w:p w14:paraId="27DCBA69">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tbl>
      <w:tblPr>
        <w:tblStyle w:val="6"/>
        <w:tblW w:w="917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62"/>
        <w:gridCol w:w="644"/>
        <w:gridCol w:w="1095"/>
        <w:gridCol w:w="2385"/>
        <w:gridCol w:w="4386"/>
      </w:tblGrid>
      <w:tr w14:paraId="75BAD48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5DC8756D">
            <w:pPr>
              <w:pStyle w:val="5"/>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2A3E9C1E">
            <w:pPr>
              <w:pStyle w:val="5"/>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109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0341D4BF">
            <w:pPr>
              <w:pStyle w:val="5"/>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三级指标</w:t>
            </w:r>
          </w:p>
        </w:tc>
        <w:tc>
          <w:tcPr>
            <w:tcW w:w="238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143CC446">
            <w:pPr>
              <w:pStyle w:val="5"/>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指标解释</w:t>
            </w:r>
          </w:p>
        </w:tc>
        <w:tc>
          <w:tcPr>
            <w:tcW w:w="4386"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4AB960C9">
            <w:pPr>
              <w:pStyle w:val="5"/>
              <w:widowControl/>
              <w:spacing w:before="0" w:beforeAutospacing="0" w:after="0" w:afterAutospacing="0"/>
              <w:jc w:val="center"/>
              <w:rPr>
                <w:rFonts w:cs="Calibri"/>
                <w:sz w:val="21"/>
                <w:szCs w:val="21"/>
              </w:rPr>
            </w:pPr>
            <w:r>
              <w:rPr>
                <w:rFonts w:hint="eastAsia" w:ascii="仿宋_GB2312" w:hAnsi="仿宋" w:eastAsia="仿宋_GB2312" w:cs="仿宋_GB2312"/>
                <w:b/>
                <w:sz w:val="21"/>
                <w:szCs w:val="21"/>
              </w:rPr>
              <w:t>指标说明</w:t>
            </w:r>
          </w:p>
        </w:tc>
      </w:tr>
      <w:tr w14:paraId="13D9F4D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6A005A83">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03F0533">
            <w:pPr>
              <w:pStyle w:val="5"/>
              <w:widowControl/>
              <w:spacing w:before="0" w:beforeAutospacing="0" w:after="0" w:afterAutospacing="0"/>
              <w:jc w:val="center"/>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14:paraId="40061B9C">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8AE7F44">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立项依据</w:t>
            </w:r>
          </w:p>
          <w:p w14:paraId="76CB9231">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507D0B5">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834AB3">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14:paraId="2AB152D0">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r>
      <w:tr w14:paraId="5854E2A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7C786FC">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10912F3">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39929F8">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9CEFD24">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060725">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79EC0C0D">
            <w:pPr>
              <w:pStyle w:val="5"/>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14:paraId="74B52013">
            <w:pPr>
              <w:pStyle w:val="5"/>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14:paraId="3595B726">
            <w:pPr>
              <w:pStyle w:val="5"/>
              <w:widowControl/>
              <w:spacing w:before="0" w:beforeAutospacing="0" w:after="0" w:afterAutospacing="0" w:line="260" w:lineRule="atLeast"/>
              <w:ind w:left="105"/>
              <w:jc w:val="both"/>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r>
      <w:tr w14:paraId="4858E56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BF8F468">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ADB9A81">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绩效</w:t>
            </w:r>
          </w:p>
          <w:p w14:paraId="746142C1">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2EF24A8">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绩效目标</w:t>
            </w:r>
          </w:p>
          <w:p w14:paraId="5774C0E9">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15BE085">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289004D">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5AD136ED">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14:paraId="2BA14412">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14:paraId="4C5AD160">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14:paraId="1D35AE02">
            <w:pPr>
              <w:pStyle w:val="5"/>
              <w:widowControl/>
              <w:spacing w:before="0" w:beforeAutospacing="0" w:after="0" w:afterAutospacing="0" w:line="260" w:lineRule="atLeast"/>
              <w:ind w:left="105" w:right="105"/>
              <w:jc w:val="both"/>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14:paraId="4B6F767A">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r>
      <w:tr w14:paraId="7FF4E77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B17A06A">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82B2889">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9B666DE">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绩效指标</w:t>
            </w:r>
          </w:p>
          <w:p w14:paraId="505AA110">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7AB3BD7">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A215E79">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r>
      <w:tr w14:paraId="5EB41A1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E5E4FD0">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5CE986EF">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14:paraId="245C38D3">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0DD8486">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预算编制</w:t>
            </w:r>
          </w:p>
          <w:p w14:paraId="77A0FAE3">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35C127F">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F095AC8">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056AAE94">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14:paraId="293D5AAF">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14:paraId="032B6351">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14:paraId="7E6C9984">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r>
      <w:tr w14:paraId="78E1DA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68187BB">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442538A">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768AE2E">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资金分配</w:t>
            </w:r>
          </w:p>
          <w:p w14:paraId="48E6783C">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C0333AA">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95E4ADE">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02B0B18D">
            <w:pPr>
              <w:pStyle w:val="5"/>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14:paraId="0AA136A3">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r>
      <w:tr w14:paraId="126B15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44AC3CB2">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5B88902">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244F527">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w:t>
            </w:r>
          </w:p>
          <w:p w14:paraId="6613B22B">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5987183">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412208C">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r>
      <w:tr w14:paraId="07984A8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3AD2CED1">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F617BD8">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99E7EAD">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预算</w:t>
            </w:r>
          </w:p>
          <w:p w14:paraId="717A2DF9">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1CEA717">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E9675A">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14:paraId="3EF26566">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r>
      <w:tr w14:paraId="36EABD2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5383FAA">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9746885">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B162AF1">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资金使用</w:t>
            </w:r>
          </w:p>
          <w:p w14:paraId="09ADC8D0">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D709899">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F04FAEE">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02693FCA">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14:paraId="5F98EE31">
            <w:pPr>
              <w:pStyle w:val="5"/>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14:paraId="762D3559">
            <w:pPr>
              <w:pStyle w:val="5"/>
              <w:widowControl/>
              <w:spacing w:before="0" w:beforeAutospacing="0" w:after="0" w:afterAutospacing="0" w:line="260" w:lineRule="atLeast"/>
              <w:ind w:right="105" w:firstLine="105"/>
              <w:jc w:val="both"/>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14:paraId="7DBF3F02">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r>
      <w:tr w14:paraId="0B3A8F4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513F890C">
            <w:pPr>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A1BB642">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组织</w:t>
            </w:r>
          </w:p>
          <w:p w14:paraId="03EF8BDD">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38105AB">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管理制度</w:t>
            </w:r>
          </w:p>
          <w:p w14:paraId="4D4A523F">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5C92E99">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2F74D06">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r>
      <w:tr w14:paraId="296670D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5F4F1C21">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1713862">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8099C6A">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制度执行</w:t>
            </w:r>
          </w:p>
          <w:p w14:paraId="2B289B47">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FB4FBD6">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2851BC4">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r>
      <w:tr w14:paraId="5BCD70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88E5DB1">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EAA613">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592C928C">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064A23">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实际</w:t>
            </w:r>
          </w:p>
          <w:p w14:paraId="7C307848">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438F3B">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EB91C35">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r>
      <w:tr w14:paraId="5C48CF4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8BB37B6">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F496AB5">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369E59AF">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29D5593">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质量</w:t>
            </w:r>
          </w:p>
          <w:p w14:paraId="20AC9974">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769A44">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F1579B">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12FCC6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6B3DB10E">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F3FAB8F">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6BEB6E38">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17E7F38">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完成</w:t>
            </w:r>
          </w:p>
          <w:p w14:paraId="4C6E8598">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C213D65">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0F56731">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r>
      <w:tr w14:paraId="08D0DFE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02065A9">
            <w:pPr>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96D1C30">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产出</w:t>
            </w:r>
          </w:p>
          <w:p w14:paraId="294B70F3">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E7A5D8F">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成本</w:t>
            </w:r>
          </w:p>
          <w:p w14:paraId="3F3FF3B8">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6869E2C">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B608EE">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r>
      <w:tr w14:paraId="54B216C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409D23F">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17BFE9C">
            <w:pPr>
              <w:pStyle w:val="5"/>
              <w:widowControl/>
              <w:spacing w:before="0" w:beforeAutospacing="0" w:after="0" w:afterAutospacing="0"/>
              <w:jc w:val="center"/>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94F1197">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11FD008">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FCC555D">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r>
      <w:tr w14:paraId="2FB5DA8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88D35A3">
            <w:pPr>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B3321CC">
            <w:pPr>
              <w:rPr>
                <w:rFonts w:hint="eastAsia" w:ascii="仿宋_GB2312" w:hAnsi="Times New Roman" w:eastAsia="仿宋_GB2312"/>
                <w:sz w:val="20"/>
                <w:szCs w:val="20"/>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1CA78F5">
            <w:pPr>
              <w:pStyle w:val="5"/>
              <w:widowControl/>
              <w:spacing w:before="0" w:beforeAutospacing="0" w:after="0" w:afterAutospacing="0" w:line="260" w:lineRule="atLeast"/>
              <w:ind w:left="105" w:right="105"/>
              <w:jc w:val="center"/>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A253701">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AEC5AD8">
            <w:pPr>
              <w:pStyle w:val="5"/>
              <w:widowControl/>
              <w:spacing w:before="0" w:beforeAutospacing="0" w:after="0" w:afterAutospacing="0" w:line="260" w:lineRule="atLeast"/>
              <w:ind w:left="105" w:right="105"/>
              <w:jc w:val="both"/>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r>
    </w:tbl>
    <w:p w14:paraId="7D2BC048">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p>
    <w:p w14:paraId="3904F06D">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评价方法：通过组织被检查的项目所有材料上报至市科协项目评价实施小组，结合实地查看，完成项目评价。</w:t>
      </w:r>
    </w:p>
    <w:p w14:paraId="1E421F62">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评价标准：1、计划标准。以预先制定的目标、计划、预算、定额等作为评价标准。2、历史标准。参照历史数据制定的评价标准，为体现绩效改进的原则，在可实现的条件下应当确定相对较高的评价标准。</w:t>
      </w:r>
    </w:p>
    <w:p w14:paraId="3E9611CD">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（三）绩效评价工作过程。</w:t>
      </w:r>
    </w:p>
    <w:p w14:paraId="532CBB69">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36"/>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包括前期准备、组织实施和评价分析、沟通反馈等。</w:t>
      </w:r>
    </w:p>
    <w:p w14:paraId="4D269543">
      <w:pPr>
        <w:pStyle w:val="5"/>
        <w:keepNext w:val="0"/>
        <w:keepLines w:val="0"/>
        <w:pageBreakBefore w:val="0"/>
        <w:widowControl/>
        <w:numPr>
          <w:ilvl w:val="0"/>
          <w:numId w:val="2"/>
        </w:numPr>
        <w:kinsoku/>
        <w:wordWrap/>
        <w:overflowPunct/>
        <w:topLinePunct w:val="0"/>
        <w:autoSpaceDE w:val="0"/>
        <w:autoSpaceDN w:val="0"/>
        <w:bidi w:val="0"/>
        <w:adjustRightInd/>
        <w:snapToGrid/>
        <w:spacing w:before="0" w:beforeAutospacing="0" w:after="0" w:afterAutospacing="0" w:line="240" w:lineRule="auto"/>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确定绩效评价对象。根据年度工作任务，确定2024年度绩效评</w:t>
      </w:r>
    </w:p>
    <w:p w14:paraId="790A722E">
      <w:pPr>
        <w:pStyle w:val="5"/>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价对象为</w:t>
      </w:r>
      <w:r>
        <w:rPr>
          <w:rFonts w:hint="eastAsia" w:ascii="仿宋_GB2312" w:hAnsi="仿宋_GB2312" w:eastAsia="仿宋_GB2312" w:cs="仿宋_GB2312"/>
          <w:color w:val="auto"/>
          <w:sz w:val="32"/>
          <w:szCs w:val="32"/>
          <w:lang w:val="en-US" w:eastAsia="zh-CN"/>
        </w:rPr>
        <w:t>科普行动计划工作经费</w:t>
      </w:r>
      <w:r>
        <w:rPr>
          <w:rFonts w:hint="eastAsia" w:ascii="仿宋_GB2312" w:hAnsi="仿宋_GB2312" w:eastAsia="仿宋_GB2312" w:cs="仿宋_GB2312"/>
          <w:sz w:val="32"/>
          <w:szCs w:val="32"/>
          <w:lang w:val="en-US" w:eastAsia="zh-CN"/>
        </w:rPr>
        <w:t>。</w:t>
      </w:r>
    </w:p>
    <w:p w14:paraId="4AC4BA59">
      <w:pPr>
        <w:pStyle w:val="5"/>
        <w:keepNext w:val="0"/>
        <w:keepLines w:val="0"/>
        <w:pageBreakBefore w:val="0"/>
        <w:widowControl/>
        <w:numPr>
          <w:ilvl w:val="0"/>
          <w:numId w:val="2"/>
        </w:numPr>
        <w:kinsoku/>
        <w:wordWrap/>
        <w:overflowPunct/>
        <w:topLinePunct w:val="0"/>
        <w:autoSpaceDE w:val="0"/>
        <w:autoSpaceDN w:val="0"/>
        <w:bidi w:val="0"/>
        <w:adjustRightInd/>
        <w:snapToGrid/>
        <w:spacing w:before="0" w:beforeAutospacing="0" w:after="0" w:afterAutospacing="0" w:line="240" w:lineRule="auto"/>
        <w:ind w:left="64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制定绩效评价实施方案。根据年度绩效评价工作计</w:t>
      </w:r>
    </w:p>
    <w:p w14:paraId="39D4BE58">
      <w:pPr>
        <w:pStyle w:val="5"/>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划、评价对象及预算管理要求，明确绩效评价实施工作目标、任务、时间安排和工作要求。并要求项目相关责任科室上报所有涉及项目绩效评价的项目资料。</w:t>
      </w:r>
    </w:p>
    <w:p w14:paraId="0C2A1668">
      <w:pPr>
        <w:pStyle w:val="5"/>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成立绩效评价工作组。我部门结合实际，成立通辽市科学技术协会工作组，组长由通辽市科学技术协会党组成员、副主席马秋洋担任，组员为通辽市科学技术协会财务人员吴黎黎、王海燕。组织开展绩效评价各个环节工作。</w:t>
      </w:r>
    </w:p>
    <w:p w14:paraId="5F853446">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三、综合评价分析情况及评价结论</w:t>
      </w:r>
    </w:p>
    <w:p w14:paraId="14FF72F3">
      <w:pPr>
        <w:pStyle w:val="5"/>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评价单位：</w:t>
      </w:r>
      <w:r>
        <w:rPr>
          <w:rFonts w:hint="eastAsia" w:ascii="仿宋_GB2312" w:hAnsi="仿宋_GB2312" w:eastAsia="仿宋_GB2312" w:cs="仿宋_GB2312"/>
          <w:sz w:val="32"/>
          <w:szCs w:val="32"/>
          <w:lang w:val="en-US" w:eastAsia="zh-CN"/>
        </w:rPr>
        <w:t>通辽市科学技术协会</w:t>
      </w:r>
    </w:p>
    <w:p w14:paraId="682A0D90">
      <w:pPr>
        <w:pStyle w:val="5"/>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评价项目：</w:t>
      </w:r>
      <w:r>
        <w:rPr>
          <w:rFonts w:hint="eastAsia" w:ascii="仿宋_GB2312" w:hAnsi="仿宋_GB2312" w:eastAsia="仿宋_GB2312" w:cs="仿宋_GB2312"/>
          <w:sz w:val="32"/>
          <w:szCs w:val="32"/>
          <w:lang w:val="en-US" w:eastAsia="zh-CN"/>
        </w:rPr>
        <w:t>科普行动计划工作经费项目</w:t>
      </w:r>
    </w:p>
    <w:p w14:paraId="0C5699B1">
      <w:pPr>
        <w:pStyle w:val="5"/>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项目金额：</w:t>
      </w:r>
      <w:r>
        <w:rPr>
          <w:rFonts w:hint="eastAsia" w:ascii="仿宋_GB2312" w:hAnsi="仿宋" w:eastAsia="仿宋_GB2312" w:cs="仿宋"/>
          <w:color w:val="auto"/>
          <w:sz w:val="32"/>
          <w:szCs w:val="32"/>
          <w:lang w:val="en-US" w:eastAsia="zh-CN"/>
        </w:rPr>
        <w:t>91万</w:t>
      </w:r>
      <w:r>
        <w:rPr>
          <w:rFonts w:hint="eastAsia" w:ascii="仿宋_GB2312" w:hAnsi="仿宋_GB2312" w:eastAsia="仿宋_GB2312" w:cs="仿宋_GB2312"/>
          <w:sz w:val="32"/>
          <w:szCs w:val="32"/>
          <w:lang w:val="en-US" w:eastAsia="zh-CN"/>
        </w:rPr>
        <w:t xml:space="preserve">元         </w:t>
      </w:r>
    </w:p>
    <w:p w14:paraId="1BDBDA88">
      <w:pPr>
        <w:pStyle w:val="5"/>
        <w:keepNext w:val="0"/>
        <w:keepLines w:val="0"/>
        <w:pageBreakBefore w:val="0"/>
        <w:widowControl/>
        <w:kinsoku/>
        <w:wordWrap/>
        <w:overflowPunct/>
        <w:topLinePunct w:val="0"/>
        <w:bidi w:val="0"/>
        <w:adjustRightInd/>
        <w:snapToGrid/>
        <w:spacing w:before="0" w:beforeAutospacing="0" w:after="0" w:afterAutospacing="0"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评价实际得分92.55分</w:t>
      </w:r>
    </w:p>
    <w:tbl>
      <w:tblPr>
        <w:tblStyle w:val="6"/>
        <w:tblW w:w="760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62"/>
        <w:gridCol w:w="644"/>
        <w:gridCol w:w="853"/>
        <w:gridCol w:w="1680"/>
        <w:gridCol w:w="2370"/>
        <w:gridCol w:w="690"/>
        <w:gridCol w:w="702"/>
      </w:tblGrid>
      <w:tr w14:paraId="3D4F1D0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645593BC">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一级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1C1C58B3">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二级</w:t>
            </w:r>
            <w:r>
              <w:rPr>
                <w:rFonts w:hint="eastAsia" w:ascii="仿宋" w:hAnsi="仿宋" w:eastAsia="仿宋" w:cs="仿宋"/>
                <w:b/>
                <w:sz w:val="21"/>
                <w:szCs w:val="21"/>
              </w:rPr>
              <w:br w:type="textWrapping"/>
            </w:r>
            <w:r>
              <w:rPr>
                <w:rFonts w:hint="eastAsia" w:ascii="仿宋_GB2312" w:hAnsi="仿宋" w:eastAsia="仿宋_GB2312" w:cs="仿宋_GB2312"/>
                <w:b/>
                <w:sz w:val="21"/>
                <w:szCs w:val="21"/>
              </w:rPr>
              <w:t>指标</w:t>
            </w:r>
          </w:p>
        </w:tc>
        <w:tc>
          <w:tcPr>
            <w:tcW w:w="853"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4571651C">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三级指标</w:t>
            </w:r>
          </w:p>
        </w:tc>
        <w:tc>
          <w:tcPr>
            <w:tcW w:w="168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29CB0B9B">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指标解释</w:t>
            </w:r>
          </w:p>
        </w:tc>
        <w:tc>
          <w:tcPr>
            <w:tcW w:w="237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09F64FA6">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1"/>
                <w:szCs w:val="21"/>
              </w:rPr>
            </w:pPr>
            <w:r>
              <w:rPr>
                <w:rFonts w:hint="eastAsia" w:ascii="仿宋_GB2312" w:hAnsi="仿宋" w:eastAsia="仿宋_GB2312" w:cs="仿宋_GB2312"/>
                <w:b/>
                <w:sz w:val="21"/>
                <w:szCs w:val="21"/>
              </w:rPr>
              <w:t>指标说明</w:t>
            </w:r>
          </w:p>
        </w:tc>
        <w:tc>
          <w:tcPr>
            <w:tcW w:w="69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59986BF0">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分值</w:t>
            </w:r>
          </w:p>
        </w:tc>
        <w:tc>
          <w:tcPr>
            <w:tcW w:w="70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77849122">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1"/>
                <w:szCs w:val="21"/>
                <w:lang w:eastAsia="zh-CN"/>
              </w:rPr>
            </w:pPr>
            <w:r>
              <w:rPr>
                <w:rFonts w:hint="eastAsia" w:ascii="仿宋_GB2312" w:hAnsi="仿宋" w:eastAsia="仿宋_GB2312" w:cs="仿宋_GB2312"/>
                <w:b/>
                <w:sz w:val="21"/>
                <w:szCs w:val="21"/>
                <w:lang w:eastAsia="zh-CN"/>
              </w:rPr>
              <w:t>实际得分</w:t>
            </w:r>
          </w:p>
        </w:tc>
      </w:tr>
      <w:tr w14:paraId="76D831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6F74018">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73D2FD6">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项目</w:t>
            </w:r>
          </w:p>
          <w:p w14:paraId="0A52D8EC">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4728A2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立项依据</w:t>
            </w:r>
          </w:p>
          <w:p w14:paraId="3230FB9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充分性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FE77C6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项目立项是否符合法律法规、相关政策、发展规划以及部门职责，用以反映和考核项目立项依据情况。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2E4632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①项目立项是否符合国家法律法规、国民经济发展规划和相关政策；</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②项目立项是否符合行业发展规划和政策要求；</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③项目立项是否与部门职责范围相符，属于部门履职所需；</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④项目是否属于公共财政支持范围，是否符合中央、地方事权支出责任划分原则；</w:t>
            </w:r>
          </w:p>
          <w:p w14:paraId="36F6112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_GB2312" w:eastAsia="仿宋_GB2312" w:cs="仿宋_GB2312"/>
                <w:sz w:val="21"/>
                <w:szCs w:val="21"/>
              </w:rPr>
              <w:t>⑤</w:t>
            </w:r>
            <w:r>
              <w:rPr>
                <w:rFonts w:hint="eastAsia" w:ascii="仿宋_GB2312" w:hAnsi="仿宋" w:eastAsia="仿宋_GB2312" w:cs="仿宋_GB2312"/>
                <w:sz w:val="21"/>
                <w:szCs w:val="21"/>
              </w:rPr>
              <w:t>项目是否与相关部门同类项目或部门内部相关项目重复。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78552F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FC775CE">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w:t>
            </w:r>
          </w:p>
        </w:tc>
      </w:tr>
      <w:tr w14:paraId="4B78204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E1CA7C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170CD85">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B9843C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立项程序规范性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330102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项目申请、设立过程是否符合相关要求，用以反映和考核项目立项的规范情况。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F5057B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53E19CAB">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①项目是否按照规定的程序申请设立；</w:t>
            </w:r>
          </w:p>
          <w:p w14:paraId="75E007C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②审批文件、材料是否符合相关要求；</w:t>
            </w:r>
          </w:p>
          <w:p w14:paraId="7D214CF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③事前是否已经过必要的可行性研究、专家论证、风险评估、绩效评估、集体决策。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8A3BB4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7415E19">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2A34BC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2F83514">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1E2B123">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w:t>
            </w:r>
          </w:p>
          <w:p w14:paraId="09F40175">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目标</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6AE70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绩效目标</w:t>
            </w:r>
          </w:p>
          <w:p w14:paraId="5DD2A80E">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5E444C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项目所设定的绩效目标是否依据充分，是否符合客观实际，用以反映和考核项目绩效目标与项目实施的相符情况。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D66CCC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5753712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（如未设定预算绩效目标，也可考核其他工作任务目标）</w:t>
            </w:r>
          </w:p>
          <w:p w14:paraId="2806784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①项目是否有绩效目标；</w:t>
            </w:r>
          </w:p>
          <w:p w14:paraId="1C873B6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②项目绩效目标与实际工作内容是否具有相关性；</w:t>
            </w:r>
          </w:p>
          <w:p w14:paraId="1C233D2B">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rPr>
            </w:pPr>
            <w:r>
              <w:rPr>
                <w:rFonts w:hint="eastAsia" w:ascii="仿宋_GB2312" w:hAnsi="仿宋" w:eastAsia="仿宋_GB2312" w:cs="仿宋_GB2312"/>
                <w:sz w:val="21"/>
                <w:szCs w:val="21"/>
              </w:rPr>
              <w:t>③项目预期产出效益和效果是否符合正常的业绩水平；</w:t>
            </w:r>
          </w:p>
          <w:p w14:paraId="1A8E566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④是否与预算确定的项目投资额或资金量相匹配。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1EAAA5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5596536">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199133C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E9D50A5">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4FC620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5040AB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绩效指标</w:t>
            </w:r>
          </w:p>
          <w:p w14:paraId="53A39FE7">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明确性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FB6B3F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依据绩效目标设定的绩效指标是否清晰、细化、可衡量等，用以反映和考核项目绩效目标的细化情况。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92051F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①是否将项目绩效目标细化分解为具体的绩效指标；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②是否通过清晰、可衡量的指标值予以体现；</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③是否与项目目标任务数或计划数相对应。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A15FFC9">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93987B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450EE17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18470A7">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0025E02">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14:paraId="5E2C3FC3">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投入</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D10A9B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预算编制</w:t>
            </w:r>
          </w:p>
          <w:p w14:paraId="76D00F1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科学性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69E51A6">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项目预算编制是否经过科学论证、有明确标准，资金额度与年度目标是否相适应，用以反映和考核项目预算编制的科学性、合理性等情况。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89801F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433630E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①预算编制是否经过科学论证；</w:t>
            </w:r>
          </w:p>
          <w:p w14:paraId="4A8D06F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②预算内容与项目内容是否匹配；</w:t>
            </w:r>
          </w:p>
          <w:p w14:paraId="7BA26ADF">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③预算额度测算依据是否充分，是否按照标准编制；</w:t>
            </w:r>
          </w:p>
          <w:p w14:paraId="769F202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④预算确定的项目投资额或资金量是否与工作任务相匹配。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5564E9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32147C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6552E5A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6112D13">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9DB0428">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B8152E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资金分配</w:t>
            </w:r>
          </w:p>
          <w:p w14:paraId="77099BA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31857E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项目预算资金分配是否有测算依据，与补助单位或地方实际是否相适应，用以反映和考核项目预算资金分配的科学性、合理性等情况。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A514B7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02D77D13">
            <w:pPr>
              <w:pStyle w:val="5"/>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①预算资金分配依据是否充分；</w:t>
            </w:r>
          </w:p>
          <w:p w14:paraId="2E3863B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②资金分配额度是否合理，与项目单位或地方实际是否相适应。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D7C504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C27D19">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49D521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3D40C27">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C08E34">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管理</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0C34A0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w:t>
            </w:r>
          </w:p>
          <w:p w14:paraId="59F0B21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到位率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D34F21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实际到位资金与预算资金的比率，用以反映和考核资金落实情况对项目实施的总体保障程度。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9EA609">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资金到位率</w:t>
            </w:r>
            <w:r>
              <w:rPr>
                <w:rFonts w:hint="eastAsia" w:ascii="仿宋_GB2312" w:hAnsi="仿宋" w:eastAsia="仿宋_GB2312" w:cs="仿宋"/>
                <w:sz w:val="21"/>
                <w:szCs w:val="21"/>
              </w:rPr>
              <w:t>=（实际到位资金/预算资金）×100%。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实际到位资金：一定时期（本年度或项目期）内落实到具体项目的资金。</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预算资金：一定时期（本年度或项目期）内预算安排到具体项目的资金。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1E5063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6AF8EE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3</w:t>
            </w:r>
          </w:p>
        </w:tc>
      </w:tr>
      <w:tr w14:paraId="27C2B53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560D4D8">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8AA156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9C9E3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w:t>
            </w:r>
          </w:p>
          <w:p w14:paraId="1147BE0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执行率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00CBA87">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项目预算资金是否按照计划执行，用以反映或考核项目预算执行情况。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16FFF9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预算执行率</w:t>
            </w:r>
            <w:r>
              <w:rPr>
                <w:rFonts w:hint="eastAsia" w:ascii="仿宋_GB2312" w:hAnsi="仿宋" w:eastAsia="仿宋_GB2312" w:cs="仿宋"/>
                <w:sz w:val="21"/>
                <w:szCs w:val="21"/>
              </w:rPr>
              <w:t>=（实际支出资金/实际到位资金）×100%。</w:t>
            </w:r>
          </w:p>
          <w:p w14:paraId="7280E5D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实际支出资金：一定时期（本年度或项目期）内项目实际拨付的资金。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BC2589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234F07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2.55</w:t>
            </w:r>
          </w:p>
        </w:tc>
      </w:tr>
      <w:tr w14:paraId="4B35E69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4D8786F3">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D4FE65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61335D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资金使用</w:t>
            </w:r>
          </w:p>
          <w:p w14:paraId="69F46B9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合规性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45DF93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项目资金使用是否符合相关的财务管理制度规定，用以反映和考核项目资金的规范运行情况。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421543F">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p>
          <w:p w14:paraId="44E699EB">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①是否符合国家财经法规和财务管理制度以及有关专项资金管理办法的规定；</w:t>
            </w:r>
          </w:p>
          <w:p w14:paraId="66647129">
            <w:pPr>
              <w:pStyle w:val="5"/>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②资金的拨付是否有完整的审批程序和手续；</w:t>
            </w:r>
          </w:p>
          <w:p w14:paraId="081EC5C2">
            <w:pPr>
              <w:pStyle w:val="5"/>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③是否符合项目预算批复或合同规定的用途；</w:t>
            </w:r>
          </w:p>
          <w:p w14:paraId="00C6071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④是否存在截留、挤占、挪用、虚列支出等情况。</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CB9022B">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0A1DE1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14:paraId="7733B09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CCD755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09EC331">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组织</w:t>
            </w:r>
          </w:p>
          <w:p w14:paraId="3E7BBBBC">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071A0D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管理制度</w:t>
            </w:r>
          </w:p>
          <w:p w14:paraId="3D23A3E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健全性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C92B8F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项目实施单位的财务和业务管理制度是否健全，用以反映和考核财务和业务管理制度对项目顺利实施的保障情况。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4DA20B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①是否已制定或具有相应的财务和业务管理制度；</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②财务和业务管理制度是否合法、合规、完整。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D2F1F6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3B24D9E">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14:paraId="647592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1D8E143">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B05AED">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2192106">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制度执行</w:t>
            </w:r>
          </w:p>
          <w:p w14:paraId="0F26242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有效性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7B98AA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项目实施是否符合相关管理规定，用以反映和考核相关管理制度的有效执行情况。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44734B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评价要点：</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①是否遵守相关法律法规和相关管理规定；</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②项目调整及支出调整手续是否完备；</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③项目合同书、验收报告、技术鉴定等资料是否齐全并及时归档；</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④项目实施的人员条件、场地设备、信息支撑等是否落实到位。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F13E400">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300D9E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10</w:t>
            </w:r>
          </w:p>
        </w:tc>
      </w:tr>
      <w:tr w14:paraId="4CE5D65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8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95CFB6E">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w:t>
            </w:r>
            <w:r>
              <w:rPr>
                <w:rFonts w:hint="eastAsia" w:ascii="仿宋_GB2312" w:hAnsi="仿宋" w:eastAsia="仿宋_GB2312" w:cs="仿宋"/>
                <w:sz w:val="21"/>
                <w:szCs w:val="21"/>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04FE4A7">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5EFE46DD">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数量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538BB7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w:t>
            </w:r>
          </w:p>
          <w:p w14:paraId="7A8893E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6F205B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项目实施的实际产出数与计划产出数的比率，用以反映和考核项目产出数量目标的实现程度。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D63EA19">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实际完成率</w:t>
            </w:r>
            <w:r>
              <w:rPr>
                <w:rFonts w:hint="eastAsia" w:ascii="仿宋_GB2312" w:hAnsi="仿宋" w:eastAsia="仿宋_GB2312" w:cs="仿宋"/>
                <w:sz w:val="21"/>
                <w:szCs w:val="21"/>
              </w:rPr>
              <w:t>=（实际产出数/计划产出数）×100%。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实际产出数：一定时期（本年度或项目期）内项目实际产出的产品或提供的服务数量。</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计划产出数：项目绩效目标确定的在一定时期（本年度或项目期）内计划产出的产品或提供的服务数量。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C860067">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716225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3</w:t>
            </w:r>
          </w:p>
        </w:tc>
      </w:tr>
      <w:tr w14:paraId="66615C5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89ED4B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7E0CDA0">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3267DBC2">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AE12E2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w:t>
            </w:r>
          </w:p>
          <w:p w14:paraId="079F4C5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达标率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D338C37">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项目完成的质量达标产出数与实际产出数的比率，用以反映和考核项目产出质量目标的实现程度。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883B35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质量达标率</w:t>
            </w:r>
            <w:r>
              <w:rPr>
                <w:rFonts w:hint="eastAsia" w:ascii="仿宋_GB2312" w:hAnsi="仿宋" w:eastAsia="仿宋_GB2312" w:cs="仿宋"/>
                <w:sz w:val="21"/>
                <w:szCs w:val="21"/>
              </w:rPr>
              <w:t>=（质量达标产出数/实际产出数）×100%。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9C6714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F2E9C3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6B133A3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4584757">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8CCB349">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4022CCB4">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时效</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983C452">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w:t>
            </w:r>
          </w:p>
          <w:p w14:paraId="2BE4FF2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及时性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B0A619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项目实际完成时间与计划完成时间的比较，用以反映和考核项目产出时效目标的实现程度。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E31FE3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实际完成时间：项目实施单位完成该项目实际所耗用的时间。</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计划完成时间：按照项目实施计划或相关规定完成该项目所需的时间。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69FE25">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E8640B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4</w:t>
            </w:r>
          </w:p>
        </w:tc>
      </w:tr>
      <w:tr w14:paraId="13334F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413F34A">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37113F4">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产出</w:t>
            </w:r>
          </w:p>
          <w:p w14:paraId="67175CFE">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FA77CE7">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w:t>
            </w:r>
          </w:p>
          <w:p w14:paraId="05E397A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节约率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08B78E9">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完成项目计划工作目标的实际节约成本与计划成本的比率，用以反映和考核项目的成本节约程度。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4500E0F">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成本节约率</w:t>
            </w:r>
            <w:r>
              <w:rPr>
                <w:rFonts w:hint="eastAsia" w:ascii="仿宋_GB2312" w:hAnsi="仿宋" w:eastAsia="仿宋_GB2312" w:cs="仿宋"/>
                <w:sz w:val="21"/>
                <w:szCs w:val="21"/>
              </w:rPr>
              <w:t>=[（计划成本-实际成本）/计划成本]×100%。</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实际成本：项目实施单位如期、保质、保量完成既定工作目标实际所耗费的支出。</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计划成本：项目实施单位为完成工作目标计划安排的支出，一般以项目预算为参考。</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F7A4B0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7FE396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20FB360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A04B7D6">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效</w:t>
            </w:r>
            <w:r>
              <w:rPr>
                <w:rFonts w:hint="eastAsia" w:ascii="仿宋_GB2312" w:hAnsi="仿宋" w:eastAsia="仿宋_GB2312" w:cs="仿宋"/>
                <w:sz w:val="21"/>
                <w:szCs w:val="21"/>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86F09B">
            <w:pPr>
              <w:pStyle w:val="5"/>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w:t>
            </w:r>
            <w:r>
              <w:rPr>
                <w:rFonts w:hint="eastAsia" w:ascii="仿宋_GB2312" w:hAnsi="仿宋" w:eastAsia="仿宋_GB2312" w:cs="仿宋"/>
                <w:sz w:val="21"/>
                <w:szCs w:val="21"/>
              </w:rPr>
              <w:br w:type="textWrapping"/>
            </w:r>
            <w:r>
              <w:rPr>
                <w:rFonts w:hint="eastAsia" w:ascii="仿宋_GB2312" w:hAnsi="仿宋" w:eastAsia="仿宋_GB2312" w:cs="仿宋_GB2312"/>
                <w:sz w:val="21"/>
                <w:szCs w:val="21"/>
              </w:rPr>
              <w:t>效益</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7070F0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实施效益</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8A5F0C8">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项目实施所产生的效益。</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55BA1BA">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项目实施所产生的社会效益、经济效益、生态效益、可持续影响等。可根据项目实际情况有选择地设置和细化。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5CE34CE">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525591E">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r w14:paraId="042D295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400C13E">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24E40FA">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20"/>
                <w:szCs w:val="20"/>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D2D921D">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1"/>
                <w:szCs w:val="21"/>
              </w:rPr>
            </w:pPr>
            <w:r>
              <w:rPr>
                <w:rFonts w:hint="eastAsia" w:ascii="仿宋_GB2312" w:hAnsi="仿宋" w:eastAsia="仿宋_GB2312" w:cs="仿宋_GB2312"/>
                <w:sz w:val="21"/>
                <w:szCs w:val="21"/>
              </w:rPr>
              <w:t>满意度</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6F9021">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社会公众或服务对象对项目实施效果的满意程度。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3746A4C">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1"/>
                <w:szCs w:val="21"/>
              </w:rPr>
            </w:pPr>
            <w:r>
              <w:rPr>
                <w:rFonts w:hint="eastAsia" w:ascii="仿宋_GB2312" w:hAnsi="仿宋" w:eastAsia="仿宋_GB2312" w:cs="仿宋_GB2312"/>
                <w:sz w:val="21"/>
                <w:szCs w:val="21"/>
              </w:rPr>
              <w:t>社会公众或服务对象是指因该项目实施而受到影响的部门（单位）、群体或个人。一般采取社会调查的方式。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2E04223">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7A1DD14">
            <w:pPr>
              <w:pStyle w:val="5"/>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1"/>
                <w:szCs w:val="21"/>
                <w:lang w:val="en-US" w:eastAsia="zh-CN"/>
              </w:rPr>
            </w:pPr>
            <w:r>
              <w:rPr>
                <w:rFonts w:hint="eastAsia" w:ascii="仿宋_GB2312" w:hAnsi="仿宋" w:eastAsia="仿宋_GB2312" w:cs="仿宋_GB2312"/>
                <w:sz w:val="21"/>
                <w:szCs w:val="21"/>
                <w:lang w:val="en-US" w:eastAsia="zh-CN"/>
              </w:rPr>
              <w:t>5</w:t>
            </w:r>
          </w:p>
        </w:tc>
      </w:tr>
    </w:tbl>
    <w:p w14:paraId="33BF2A04">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eastAsia="zh-CN"/>
        </w:rPr>
        <w:t>结合上述评价表格及结果，通过绩效评价小组研判，确定</w:t>
      </w:r>
      <w:r>
        <w:rPr>
          <w:rFonts w:hint="eastAsia" w:ascii="仿宋_GB2312" w:hAnsi="仿宋_GB2312" w:eastAsia="仿宋_GB2312" w:cs="仿宋_GB2312"/>
          <w:sz w:val="32"/>
          <w:szCs w:val="32"/>
          <w:lang w:val="en-US" w:eastAsia="zh-CN"/>
        </w:rPr>
        <w:t>提升重点人群科学素质项目</w:t>
      </w:r>
      <w:r>
        <w:rPr>
          <w:rFonts w:hint="eastAsia" w:ascii="仿宋_GB2312" w:hAnsi="仿宋_GB2312" w:eastAsia="仿宋_GB2312" w:cs="仿宋_GB2312"/>
          <w:sz w:val="32"/>
          <w:szCs w:val="32"/>
          <w:lang w:eastAsia="zh-CN"/>
        </w:rPr>
        <w:t>评价结果为：优。</w:t>
      </w:r>
    </w:p>
    <w:p w14:paraId="2A74DB68">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四、绩效评价指标分析</w:t>
      </w:r>
    </w:p>
    <w:p w14:paraId="1F657470">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（一）项目决策情况。</w:t>
      </w:r>
    </w:p>
    <w:p w14:paraId="406439A9">
      <w:pPr>
        <w:pStyle w:val="5"/>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依据充分，主要根据法律法规和部门职能职责。立项程序规范，设立的绩效目标与老科协实际工作安排紧密结合，具有合理性和明确性。本级资金安排91万元，资金到位率100%和执行率86.78%，体现了预算编制的科学性。</w:t>
      </w:r>
    </w:p>
    <w:p w14:paraId="791AAF21">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default"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（二）项目过程情况。</w:t>
      </w:r>
    </w:p>
    <w:p w14:paraId="4741A848">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该项目资金到位率100%，资金使用严格按照年初预算执</w:t>
      </w:r>
    </w:p>
    <w:p w14:paraId="1069D41E">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行，并符合国家财经法规、经费支出管理办法和机关财务管理制度。保障项目实施的财务和业务管理制度健全完善，项目实施过程严格执行相关管理制度规定，做到了手续完备，资料齐全。</w:t>
      </w:r>
    </w:p>
    <w:p w14:paraId="591AFCA5">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（三）项目产出情况。</w:t>
      </w:r>
    </w:p>
    <w:p w14:paraId="59FBB148">
      <w:pPr>
        <w:keepNext w:val="0"/>
        <w:keepLines w:val="0"/>
        <w:pageBreakBefore w:val="0"/>
        <w:numPr>
          <w:ilvl w:val="0"/>
          <w:numId w:val="0"/>
        </w:numPr>
        <w:kinsoku/>
        <w:wordWrap/>
        <w:overflowPunct/>
        <w:topLinePunct w:val="0"/>
        <w:bidi w:val="0"/>
        <w:adjustRightInd/>
        <w:snapToGrid/>
        <w:spacing w:line="240" w:lineRule="auto"/>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该项目预算资金</w:t>
      </w:r>
      <w:r>
        <w:rPr>
          <w:rFonts w:hint="eastAsia" w:ascii="仿宋_GB2312" w:hAnsi="仿宋_GB2312" w:eastAsia="仿宋_GB2312" w:cs="仿宋_GB2312"/>
          <w:sz w:val="32"/>
          <w:szCs w:val="32"/>
          <w:lang w:val="en-US" w:eastAsia="zh-CN"/>
        </w:rPr>
        <w:t>91万元，实际支出78.97万元，该项目中</w:t>
      </w:r>
      <w:r>
        <w:rPr>
          <w:rFonts w:hint="eastAsia" w:ascii="仿宋" w:hAnsi="仿宋" w:eastAsia="仿宋" w:cs="仿宋"/>
          <w:color w:val="auto"/>
          <w:sz w:val="32"/>
          <w:szCs w:val="32"/>
          <w:lang w:val="en-US" w:eastAsia="zh-CN"/>
        </w:rPr>
        <w:t>主题品牌科普活动、提升全民科学素质活动等工作</w:t>
      </w:r>
      <w:r>
        <w:rPr>
          <w:rFonts w:hint="eastAsia" w:ascii="仿宋_GB2312" w:hAnsi="仿宋_GB2312" w:eastAsia="仿宋_GB2312" w:cs="仿宋_GB2312"/>
          <w:sz w:val="32"/>
          <w:szCs w:val="32"/>
          <w:lang w:val="en-US" w:eastAsia="zh-CN"/>
        </w:rPr>
        <w:t>完成及时，质量优秀，达到了预期效果。成本控制方面，每项工作均在预算范围之内。</w:t>
      </w:r>
    </w:p>
    <w:p w14:paraId="25AE85C3">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（四）项目效益情况。</w:t>
      </w:r>
    </w:p>
    <w:p w14:paraId="21EF2567">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该项目的社会效益显著，有效提升了重点人群科学素质水平。</w:t>
      </w:r>
    </w:p>
    <w:p w14:paraId="3F760236">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五、主要经验及做法</w:t>
      </w:r>
    </w:p>
    <w:p w14:paraId="3E11D691">
      <w:pPr>
        <w:keepNext w:val="0"/>
        <w:keepLines w:val="0"/>
        <w:pageBreakBefore w:val="0"/>
        <w:numPr>
          <w:ilvl w:val="0"/>
          <w:numId w:val="0"/>
        </w:numPr>
        <w:kinsoku/>
        <w:wordWrap/>
        <w:overflowPunct/>
        <w:topLinePunct w:val="0"/>
        <w:bidi w:val="0"/>
        <w:adjustRightInd/>
        <w:snapToGrid/>
        <w:spacing w:line="240" w:lineRule="auto"/>
        <w:ind w:firstLine="643" w:firstLineChars="200"/>
        <w:textAlignment w:val="auto"/>
        <w:rPr>
          <w:rFonts w:hint="eastAsia" w:ascii="方正楷体简体" w:hAnsi="方正楷体简体" w:eastAsia="方正楷体简体" w:cs="方正楷体简体"/>
          <w:b/>
          <w:bCs/>
          <w:sz w:val="32"/>
          <w:szCs w:val="32"/>
          <w:lang w:val="en-US" w:eastAsia="zh-CN"/>
        </w:rPr>
      </w:pPr>
      <w:r>
        <w:rPr>
          <w:rFonts w:hint="eastAsia" w:ascii="方正楷体简体" w:hAnsi="方正楷体简体" w:eastAsia="方正楷体简体" w:cs="方正楷体简体"/>
          <w:b/>
          <w:bCs/>
          <w:sz w:val="32"/>
          <w:szCs w:val="32"/>
          <w:lang w:val="en-US" w:eastAsia="zh-CN"/>
        </w:rPr>
        <w:t>主要经验及做法</w:t>
      </w:r>
    </w:p>
    <w:p w14:paraId="439EE204">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高度重视，加强组织领导</w:t>
      </w:r>
      <w:r>
        <w:rPr>
          <w:rFonts w:hint="eastAsia" w:ascii="仿宋_GB2312" w:hAnsi="仿宋_GB2312" w:eastAsia="仿宋_GB2312" w:cs="仿宋_GB2312"/>
          <w:sz w:val="32"/>
          <w:szCs w:val="32"/>
          <w:lang w:eastAsia="zh-CN"/>
        </w:rPr>
        <w:t>。</w:t>
      </w:r>
    </w:p>
    <w:p w14:paraId="12634B46">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为认真抓好绩效评价工作，成立绩效评价工作组，负责绩效评价方面的日常工作。</w:t>
      </w:r>
    </w:p>
    <w:p w14:paraId="4A71FAC1">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联系实际，科学安排，强力推进</w:t>
      </w:r>
      <w:r>
        <w:rPr>
          <w:rFonts w:hint="eastAsia" w:ascii="仿宋_GB2312" w:hAnsi="仿宋_GB2312" w:eastAsia="仿宋_GB2312" w:cs="仿宋_GB2312"/>
          <w:sz w:val="32"/>
          <w:szCs w:val="32"/>
          <w:lang w:eastAsia="zh-CN"/>
        </w:rPr>
        <w:t>。</w:t>
      </w:r>
    </w:p>
    <w:p w14:paraId="5720DFA9">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注重</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思想教育和具体业务工作相结合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rPr>
        <w:t>组注重并坚持做到把加强绩效评价工作与党风廉政建设和反腐败工作结合起来，与纠正部门和行业不正之风、切实提高工作效能工作结合起来。坚持并做到把绩效评价工作与相关业务工作一起安排、一起落实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有效地促进了绩效评价工作</w:t>
      </w:r>
      <w:r>
        <w:rPr>
          <w:rFonts w:hint="eastAsia" w:ascii="仿宋_GB2312" w:hAnsi="仿宋_GB2312" w:eastAsia="仿宋_GB2312" w:cs="仿宋_GB2312"/>
          <w:sz w:val="32"/>
          <w:szCs w:val="32"/>
          <w:lang w:eastAsia="zh-CN"/>
        </w:rPr>
        <w:t>。</w:t>
      </w:r>
    </w:p>
    <w:p w14:paraId="3E175D0A">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六、有关建议</w:t>
      </w:r>
    </w:p>
    <w:p w14:paraId="0545030E">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1、科学合理编制预算，严格执行预算。进一步提高预算编制到位率，做准做全基本支出预算，做全项目支出预算，加强预算支出的审核、跟踪及预算执行情况分析，提高预算编制严谨性和可控性。</w:t>
      </w:r>
    </w:p>
    <w:p w14:paraId="7725C4C6">
      <w:pPr>
        <w:keepNext w:val="0"/>
        <w:keepLines w:val="0"/>
        <w:pageBreakBefore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宋体" w:eastAsia="黑体" w:cs="黑体"/>
          <w:sz w:val="32"/>
          <w:szCs w:val="32"/>
        </w:rPr>
      </w:pPr>
      <w:r>
        <w:rPr>
          <w:rFonts w:hint="eastAsia" w:ascii="仿宋_GB2312" w:hAnsi="仿宋_GB2312" w:eastAsia="仿宋_GB2312" w:cs="仿宋_GB2312"/>
          <w:sz w:val="32"/>
          <w:szCs w:val="32"/>
          <w:lang w:eastAsia="zh-CN"/>
        </w:rPr>
        <w:t>2、进一步加强项目资金管理。严格实行项目管理程序化，实现项目申报、实施、拨付、评价全流程监督与控制，规范专项资金管理，提高专项资金的使用效益。</w:t>
      </w:r>
    </w:p>
    <w:p w14:paraId="15175EE5">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七、其他需要说明的问题</w:t>
      </w:r>
    </w:p>
    <w:p w14:paraId="002E5AB9">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5485F412">
      <w:bookmarkStart w:id="0" w:name="_GoBack"/>
      <w:bookmarkEnd w:id="0"/>
    </w:p>
    <w:sectPr>
      <w:footerReference r:id="rId3" w:type="default"/>
      <w:pgSz w:w="11906" w:h="16838"/>
      <w:pgMar w:top="1440" w:right="1800" w:bottom="1440" w:left="1800"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B28F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425759">
                          <w:pPr>
                            <w:pStyle w:val="4"/>
                            <w:rPr>
                              <w:sz w:val="20"/>
                              <w:szCs w:val="28"/>
                            </w:rPr>
                          </w:pPr>
                          <w:r>
                            <w:t>—</w:t>
                          </w:r>
                          <w:r>
                            <w:rPr>
                              <w:sz w:val="20"/>
                              <w:szCs w:val="28"/>
                            </w:rPr>
                            <w:t xml:space="preserve"> </w:t>
                          </w:r>
                          <w:r>
                            <w:rPr>
                              <w:sz w:val="20"/>
                              <w:szCs w:val="28"/>
                            </w:rPr>
                            <w:fldChar w:fldCharType="begin"/>
                          </w:r>
                          <w:r>
                            <w:rPr>
                              <w:sz w:val="20"/>
                              <w:szCs w:val="28"/>
                            </w:rPr>
                            <w:instrText xml:space="preserve"> PAGE  \* MERGEFORMAT </w:instrText>
                          </w:r>
                          <w:r>
                            <w:rPr>
                              <w:sz w:val="20"/>
                              <w:szCs w:val="28"/>
                            </w:rPr>
                            <w:fldChar w:fldCharType="separate"/>
                          </w:r>
                          <w:r>
                            <w:rPr>
                              <w:sz w:val="20"/>
                              <w:szCs w:val="28"/>
                            </w:rPr>
                            <w:t>1</w:t>
                          </w:r>
                          <w:r>
                            <w:rPr>
                              <w:sz w:val="20"/>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1425759">
                    <w:pPr>
                      <w:pStyle w:val="4"/>
                      <w:rPr>
                        <w:sz w:val="20"/>
                        <w:szCs w:val="28"/>
                      </w:rPr>
                    </w:pPr>
                    <w:r>
                      <w:t>—</w:t>
                    </w:r>
                    <w:r>
                      <w:rPr>
                        <w:sz w:val="20"/>
                        <w:szCs w:val="28"/>
                      </w:rPr>
                      <w:t xml:space="preserve"> </w:t>
                    </w:r>
                    <w:r>
                      <w:rPr>
                        <w:sz w:val="20"/>
                        <w:szCs w:val="28"/>
                      </w:rPr>
                      <w:fldChar w:fldCharType="begin"/>
                    </w:r>
                    <w:r>
                      <w:rPr>
                        <w:sz w:val="20"/>
                        <w:szCs w:val="28"/>
                      </w:rPr>
                      <w:instrText xml:space="preserve"> PAGE  \* MERGEFORMAT </w:instrText>
                    </w:r>
                    <w:r>
                      <w:rPr>
                        <w:sz w:val="20"/>
                        <w:szCs w:val="28"/>
                      </w:rPr>
                      <w:fldChar w:fldCharType="separate"/>
                    </w:r>
                    <w:r>
                      <w:rPr>
                        <w:sz w:val="20"/>
                        <w:szCs w:val="28"/>
                      </w:rPr>
                      <w:t>1</w:t>
                    </w:r>
                    <w:r>
                      <w:rPr>
                        <w:sz w:val="20"/>
                        <w:szCs w:val="28"/>
                      </w:rP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285B6"/>
    <w:multiLevelType w:val="singleLevel"/>
    <w:tmpl w:val="9A6285B6"/>
    <w:lvl w:ilvl="0" w:tentative="0">
      <w:start w:val="1"/>
      <w:numFmt w:val="decimal"/>
      <w:suff w:val="nothing"/>
      <w:lvlText w:val="%1、"/>
      <w:lvlJc w:val="left"/>
    </w:lvl>
  </w:abstractNum>
  <w:abstractNum w:abstractNumId="1">
    <w:nsid w:val="C509A8F9"/>
    <w:multiLevelType w:val="singleLevel"/>
    <w:tmpl w:val="C509A8F9"/>
    <w:lvl w:ilvl="0" w:tentative="0">
      <w:start w:val="1"/>
      <w:numFmt w:val="decimal"/>
      <w:suff w:val="nothing"/>
      <w:lvlText w:val="%1、"/>
      <w:lvlJc w:val="left"/>
      <w:pPr>
        <w:ind w:left="64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DE304F"/>
    <w:rsid w:val="5CDE304F"/>
    <w:rsid w:val="625724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2025-09-23T11:01:00Z</dcterms:created>
  <dc:creator>little why</dc:creator>
  <cp:lastModifiedBy>little why</cp:lastModifiedBy>
  <dcterms:modified xsi:type="dcterms:W3CDTF">2025-09-23T11:30:40Z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A462F12F466341C481E6C98E3B78ED36_11</vt:lpwstr>
  </property>
  <property fmtid="{D5CDD505-2E9C-101B-9397-08002B2CF9AE}" pid="4" name="KSOTemplateDocerSaveRecord">
    <vt:lpwstr>eyJoZGlkIjoiMjg1NDVlZjNkOGNlMGM2MGFiZmU1ZWQwZWRmNTliZDMiLCJ1c2VySWQiOiIyNTEwNDI2NDYifQ==</vt:lpwstr>
  </property>
</Properties>
</file>