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6E6E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机器人与人工智能创意赛</w:t>
      </w:r>
    </w:p>
    <w:p w14:paraId="7645975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主题：科技赋能新生活</w:t>
      </w:r>
    </w:p>
    <w:p w14:paraId="79B168DB">
      <w:pPr>
        <w:rPr>
          <w:rFonts w:hint="eastAsia"/>
        </w:rPr>
      </w:pPr>
    </w:p>
    <w:p w14:paraId="629E1067">
      <w:pPr>
        <w:rPr>
          <w:rFonts w:hint="eastAsia"/>
        </w:rPr>
      </w:pPr>
    </w:p>
    <w:p w14:paraId="41564E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一、比赛主题</w:t>
      </w:r>
    </w:p>
    <w:p w14:paraId="02E7C6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创新是撬动时代变革的杠杆，更是擘画未来蓝图的神笔。当人工智能与机器人技术的浪潮奔涌而至，生活的边界正被持续拓展—从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银发族安享从容优雅的晚年，到孩童在奇趣探索中释放天性；从社区借助智能协同实现高效运转，到校园依托科技赋能开启育才新篇；再到农田因智慧农业焕发丰产活力…… 在科技的驱动下，生活的每一个维度都在绽放崭新的光彩。你有什么好的想法，可以给我们的日常生活带来更多的便利吗？一起来开动脑筋，为建设一个更加便利的社会努力吧!</w:t>
      </w:r>
    </w:p>
    <w:p w14:paraId="733ED7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二、参赛对象</w:t>
      </w:r>
    </w:p>
    <w:p w14:paraId="52F4E4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比赛按小学组、初中组二个组别进行。参赛队应该在赛前完成参赛作品的制作和搭建，届时携带作品赴现场，比赛的内容为演示评审和公众展示。每支参赛队的参赛人数为不多于 3 名学生和 1 名教练员 (教师或学生)。现场正式布展和评审阶段场馆均封闭，仅允许学生队员在场:教练员只能在布展时段之前和公众展示阶段入场指导。</w:t>
      </w:r>
    </w:p>
    <w:p w14:paraId="7BDECC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三、比赛内容</w:t>
      </w:r>
    </w:p>
    <w:p w14:paraId="61019A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该比赛的焦点是任何形式的新技能、新应用、创新点、科学价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值、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使用价值的展示，及由此给人们实际生活带来的改善。</w:t>
      </w:r>
    </w:p>
    <w:p w14:paraId="66D4F7A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本次参赛团队将综合运用人工智能、机器人和 5G 技术，围绕智慧生活发现真实的落地场景，针对其中的应用问题和需求，创造性提出解决方案，并进行应用系统和产品的设计和开发，打造具有一定智能化、自主化、个性化以及人机交互友好的机器人创新应用系统。具体任务为:</w:t>
      </w:r>
    </w:p>
    <w:p w14:paraId="7240A8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1.方案创新:参赛队伍根据生活生产中的机器人应用需求和场景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创造性提出机器人应用方案来解决实际问题，进行相应的设计开发。</w:t>
      </w:r>
    </w:p>
    <w:p w14:paraId="5936DE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2.功能开发;机器人具备但不限于导航定位、视觉感知、语音交互等能力，能够应用机器学习、深度学习等先进的AI技术，体现与传统机器人不同之处。</w:t>
      </w:r>
    </w:p>
    <w:p w14:paraId="52AC60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四、比赛要求</w:t>
      </w:r>
    </w:p>
    <w:p w14:paraId="0A8757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1.参赛作品的器材要求</w:t>
      </w:r>
    </w:p>
    <w:p w14:paraId="3C1081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加竞赛的机器人作品，除不得选用污染环境、有害健康的器材外，原则上不限定器材。鼓励小学组参赛作品尽量利用环保可再生材料、或平时课外活动的现成套材设计和搭建，力求节省成本，避免成人化倾向。机器人的创意、设计、搭建、编程应由学生独立或集体亲身实践和完成。</w:t>
      </w:r>
    </w:p>
    <w:p w14:paraId="44AEF0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2.参赛机器人作品应该体现五个要素</w:t>
      </w:r>
    </w:p>
    <w:p w14:paraId="54F912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 机器人创意的出发点最好出自与自己学习、生活相关的问题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7BA998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 符合创新比赛的主题，正确体现机器人的内涵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40F0EB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 在契合主题的前提下，机器人演示的完整性和创意的新颖性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070C93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(4)科学性和一定的研究制作工作量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205EEC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(5)研制过程和作品成果均体现出学生的主体性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3AAF9E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3.展示讲解要求</w:t>
      </w:r>
    </w:p>
    <w:p w14:paraId="05BB64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 确立自己队伍名称，给队伍其一个响亮的名字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</w:p>
    <w:p w14:paraId="254962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 搭建完成的作品要有程序，讲解出逻辑，通过这些程序使作品达成哪些效果？</w:t>
      </w:r>
    </w:p>
    <w:p w14:paraId="1C908A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 表明清楚作品的名称，作用，功能，以及在某个搭建结构所用到的传动方式（例如：齿轮，齿条，皮带传动等）可以通过完成某个任务的方式来介绍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178BBC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五、展示规则</w:t>
      </w:r>
    </w:p>
    <w:p w14:paraId="268973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1.各参赛机器人作品的展台面积不超过 2 平方米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19E61E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2.在正式展示和问辩前，组委会安排一定时间段供参赛队布展、组装和调试作品。</w:t>
      </w:r>
    </w:p>
    <w:p w14:paraId="4694BD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3.评审团将根据机器人在比赛中的表现、团队合作、创新能力等方面进行评分。</w:t>
      </w:r>
    </w:p>
    <w:p w14:paraId="0618A6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六、人工智能比赛作品的评分标准</w:t>
      </w:r>
    </w:p>
    <w:tbl>
      <w:tblPr>
        <w:tblStyle w:val="5"/>
        <w:tblW w:w="8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1334"/>
        <w:gridCol w:w="5937"/>
        <w:gridCol w:w="634"/>
      </w:tblGrid>
      <w:tr w14:paraId="478574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20" w:type="dxa"/>
            <w:vAlign w:val="top"/>
          </w:tcPr>
          <w:p w14:paraId="1DC99A04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5427D1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7"/>
              </w:rPr>
              <w:t>项目</w:t>
            </w:r>
          </w:p>
        </w:tc>
        <w:tc>
          <w:tcPr>
            <w:tcW w:w="5937" w:type="dxa"/>
            <w:vAlign w:val="center"/>
          </w:tcPr>
          <w:p w14:paraId="1AFA64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spacing w:val="-6"/>
              </w:rPr>
              <w:t>细目</w:t>
            </w:r>
          </w:p>
        </w:tc>
        <w:tc>
          <w:tcPr>
            <w:tcW w:w="634" w:type="dxa"/>
            <w:vAlign w:val="center"/>
          </w:tcPr>
          <w:p w14:paraId="005A47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权重</w:t>
            </w:r>
          </w:p>
        </w:tc>
      </w:tr>
      <w:tr w14:paraId="71B0B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restart"/>
            <w:textDirection w:val="tbRlV"/>
            <w:vAlign w:val="center"/>
          </w:tcPr>
          <w:p w14:paraId="2CACEB40">
            <w:pPr>
              <w:pStyle w:val="6"/>
              <w:spacing w:line="240" w:lineRule="auto"/>
              <w:ind w:left="0" w:leftChars="0" w:firstLine="0" w:firstLineChars="0"/>
              <w:jc w:val="center"/>
            </w:pPr>
            <w:r>
              <w:rPr>
                <w:spacing w:val="21"/>
                <w:w w:val="116"/>
              </w:rPr>
              <w:t>作品评分标</w:t>
            </w:r>
          </w:p>
        </w:tc>
        <w:tc>
          <w:tcPr>
            <w:tcW w:w="1334" w:type="dxa"/>
            <w:vAlign w:val="center"/>
          </w:tcPr>
          <w:p w14:paraId="6DB1C6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5"/>
              </w:rPr>
              <w:t>创意</w:t>
            </w:r>
          </w:p>
        </w:tc>
        <w:tc>
          <w:tcPr>
            <w:tcW w:w="5937" w:type="dxa"/>
            <w:vAlign w:val="center"/>
          </w:tcPr>
          <w:p w14:paraId="4AA40D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</w:pPr>
            <w:r>
              <w:rPr>
                <w:spacing w:val="-1"/>
              </w:rPr>
              <w:t>新颖性、独立性、特色，有一个创新点或多个创新点</w:t>
            </w:r>
          </w:p>
        </w:tc>
        <w:tc>
          <w:tcPr>
            <w:tcW w:w="634" w:type="dxa"/>
            <w:vAlign w:val="top"/>
          </w:tcPr>
          <w:p w14:paraId="3CAE078A">
            <w:pPr>
              <w:pStyle w:val="6"/>
              <w:spacing w:before="38" w:line="206" w:lineRule="auto"/>
              <w:ind w:left="146"/>
            </w:pPr>
            <w:r>
              <w:rPr>
                <w:spacing w:val="-5"/>
              </w:rPr>
              <w:t>20%</w:t>
            </w:r>
          </w:p>
        </w:tc>
      </w:tr>
      <w:tr w14:paraId="03933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continue"/>
            <w:textDirection w:val="tbRlV"/>
            <w:vAlign w:val="top"/>
          </w:tcPr>
          <w:p w14:paraId="332E8241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1CAE82F6">
            <w:pPr>
              <w:pStyle w:val="6"/>
              <w:keepNext w:val="0"/>
              <w:keepLines w:val="0"/>
              <w:pageBreakBefore w:val="0"/>
              <w:widowControl/>
              <w:tabs>
                <w:tab w:val="center" w:pos="665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目标</w:t>
            </w:r>
          </w:p>
        </w:tc>
        <w:tc>
          <w:tcPr>
            <w:tcW w:w="5937" w:type="dxa"/>
            <w:vAlign w:val="top"/>
          </w:tcPr>
          <w:p w14:paraId="07042C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5"/>
              </w:rPr>
              <w:t>1.</w:t>
            </w:r>
            <w:r>
              <w:rPr>
                <w:spacing w:val="-59"/>
              </w:rPr>
              <w:t xml:space="preserve"> </w:t>
            </w:r>
            <w:r>
              <w:rPr>
                <w:spacing w:val="-5"/>
              </w:rPr>
              <w:t>目标明确，契合主题，选题有新颖性</w:t>
            </w:r>
          </w:p>
          <w:p w14:paraId="5068BD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1"/>
              </w:rPr>
              <w:t>2.问题带有社会性和典型性，解决方案有可行性</w:t>
            </w:r>
          </w:p>
        </w:tc>
        <w:tc>
          <w:tcPr>
            <w:tcW w:w="634" w:type="dxa"/>
            <w:vAlign w:val="top"/>
          </w:tcPr>
          <w:p w14:paraId="4986F6AF">
            <w:pPr>
              <w:pStyle w:val="6"/>
              <w:spacing w:before="38"/>
              <w:ind w:left="146"/>
            </w:pPr>
            <w:r>
              <w:rPr>
                <w:spacing w:val="-5"/>
              </w:rPr>
              <w:t>20%</w:t>
            </w:r>
          </w:p>
        </w:tc>
      </w:tr>
      <w:tr w14:paraId="5E6DCF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continue"/>
            <w:textDirection w:val="tbRlV"/>
            <w:vAlign w:val="top"/>
          </w:tcPr>
          <w:p w14:paraId="25C2CAA7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6380A5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</w:pPr>
            <w:r>
              <w:rPr>
                <w:spacing w:val="-4"/>
              </w:rPr>
              <w:t>工作量和完整性</w:t>
            </w:r>
          </w:p>
        </w:tc>
        <w:tc>
          <w:tcPr>
            <w:tcW w:w="5937" w:type="dxa"/>
            <w:vAlign w:val="top"/>
          </w:tcPr>
          <w:p w14:paraId="1DB172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3"/>
              </w:rPr>
              <w:t>1.作品完整、按时、规范</w:t>
            </w:r>
          </w:p>
          <w:p w14:paraId="11194D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5"/>
              </w:rPr>
              <w:t>2.工作量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·适当，由学生独立或团队合作完成</w:t>
            </w:r>
          </w:p>
        </w:tc>
        <w:tc>
          <w:tcPr>
            <w:tcW w:w="634" w:type="dxa"/>
            <w:vAlign w:val="top"/>
          </w:tcPr>
          <w:p w14:paraId="0D1CEC38">
            <w:pPr>
              <w:pStyle w:val="6"/>
              <w:spacing w:before="195"/>
              <w:ind w:left="146"/>
            </w:pPr>
            <w:r>
              <w:rPr>
                <w:spacing w:val="-5"/>
              </w:rPr>
              <w:t>20%</w:t>
            </w:r>
          </w:p>
        </w:tc>
      </w:tr>
      <w:tr w14:paraId="03A60D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continue"/>
            <w:textDirection w:val="tbRlV"/>
            <w:vAlign w:val="top"/>
          </w:tcPr>
          <w:p w14:paraId="7D877162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325938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</w:pPr>
            <w:r>
              <w:rPr>
                <w:spacing w:val="-4"/>
              </w:rPr>
              <w:t>设计制作</w:t>
            </w:r>
          </w:p>
        </w:tc>
        <w:tc>
          <w:tcPr>
            <w:tcW w:w="5937" w:type="dxa"/>
            <w:vAlign w:val="center"/>
          </w:tcPr>
          <w:p w14:paraId="181214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</w:pPr>
            <w:r>
              <w:rPr>
                <w:spacing w:val="-2"/>
              </w:rPr>
              <w:t>1.作品结构合理巧妙，制作精良</w:t>
            </w:r>
          </w:p>
        </w:tc>
        <w:tc>
          <w:tcPr>
            <w:tcW w:w="634" w:type="dxa"/>
            <w:vAlign w:val="top"/>
          </w:tcPr>
          <w:p w14:paraId="44E8337A">
            <w:pPr>
              <w:pStyle w:val="6"/>
              <w:spacing w:before="42" w:line="205" w:lineRule="auto"/>
              <w:ind w:left="161"/>
            </w:pPr>
            <w:r>
              <w:rPr>
                <w:spacing w:val="-10"/>
              </w:rPr>
              <w:t>15%</w:t>
            </w:r>
          </w:p>
        </w:tc>
      </w:tr>
      <w:tr w14:paraId="19A2D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continue"/>
            <w:textDirection w:val="tbRlV"/>
            <w:vAlign w:val="top"/>
          </w:tcPr>
          <w:p w14:paraId="17329935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2EE08792">
            <w:pPr>
              <w:pStyle w:val="6"/>
              <w:spacing w:before="42" w:line="205" w:lineRule="auto"/>
              <w:jc w:val="center"/>
            </w:pPr>
            <w:r>
              <w:rPr>
                <w:spacing w:val="-3"/>
              </w:rPr>
              <w:t>表达操作</w:t>
            </w:r>
          </w:p>
        </w:tc>
        <w:tc>
          <w:tcPr>
            <w:tcW w:w="5937" w:type="dxa"/>
            <w:vAlign w:val="top"/>
          </w:tcPr>
          <w:p w14:paraId="4B560C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2"/>
              </w:rPr>
              <w:t>1.现场操作娴熟、机器人演示过程完整</w:t>
            </w:r>
          </w:p>
          <w:p w14:paraId="2533AD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spacing w:val="-2"/>
              </w:rPr>
            </w:pPr>
            <w:r>
              <w:rPr>
                <w:spacing w:val="-2"/>
              </w:rPr>
              <w:t>2.陈述清晰，问辩回答正确，能反映对创意的深入理解</w:t>
            </w:r>
          </w:p>
        </w:tc>
        <w:tc>
          <w:tcPr>
            <w:tcW w:w="634" w:type="dxa"/>
            <w:vAlign w:val="center"/>
          </w:tcPr>
          <w:p w14:paraId="1ECF64B5">
            <w:pPr>
              <w:pStyle w:val="6"/>
              <w:spacing w:before="42" w:line="205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>15%</w:t>
            </w:r>
          </w:p>
        </w:tc>
      </w:tr>
      <w:tr w14:paraId="7E22B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0" w:type="dxa"/>
            <w:vMerge w:val="continue"/>
            <w:textDirection w:val="tbRlV"/>
            <w:vAlign w:val="top"/>
          </w:tcPr>
          <w:p w14:paraId="5CA0DD07"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1DC8A661">
            <w:pPr>
              <w:pStyle w:val="6"/>
              <w:spacing w:before="42" w:line="205" w:lineRule="auto"/>
              <w:jc w:val="center"/>
              <w:rPr>
                <w:spacing w:val="-4"/>
              </w:rPr>
            </w:pPr>
            <w:r>
              <w:rPr>
                <w:spacing w:val="-8"/>
              </w:rPr>
              <w:t>团队精神</w:t>
            </w:r>
          </w:p>
        </w:tc>
        <w:tc>
          <w:tcPr>
            <w:tcW w:w="5937" w:type="dxa"/>
            <w:vAlign w:val="top"/>
          </w:tcPr>
          <w:p w14:paraId="39C342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</w:pPr>
            <w:r>
              <w:rPr>
                <w:spacing w:val="-2"/>
              </w:rPr>
              <w:t>1.团队分工明确，各司其职，团结协作</w:t>
            </w:r>
          </w:p>
          <w:p w14:paraId="1AD88F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spacing w:val="-2"/>
              </w:rPr>
            </w:pPr>
            <w:r>
              <w:rPr>
                <w:spacing w:val="-1"/>
              </w:rPr>
              <w:t>2.项目成果由团队集体合作完成</w:t>
            </w:r>
          </w:p>
        </w:tc>
        <w:tc>
          <w:tcPr>
            <w:tcW w:w="634" w:type="dxa"/>
            <w:vAlign w:val="center"/>
          </w:tcPr>
          <w:p w14:paraId="5FCE6E4E">
            <w:pPr>
              <w:pStyle w:val="6"/>
              <w:spacing w:before="42" w:line="205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>10%</w:t>
            </w:r>
          </w:p>
        </w:tc>
      </w:tr>
    </w:tbl>
    <w:p w14:paraId="36CC14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</w:p>
    <w:p w14:paraId="4D22F4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七、其他</w:t>
      </w:r>
    </w:p>
    <w:p w14:paraId="6B4324A3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1.比赛期间，凡是规则中没有说明的事项由裁判委员会决定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 w14:paraId="78F811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2.是规则中未说明事项以及有争议事项，主办方均拥有最后解释权和决定权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91B12"/>
    <w:rsid w:val="4F9B0B97"/>
    <w:rsid w:val="6879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1499</Words>
  <Characters>1548</Characters>
  <Lines>0</Lines>
  <Paragraphs>0</Paragraphs>
  <TotalTime>8</TotalTime>
  <ScaleCrop>false</ScaleCrop>
  <LinksUpToDate>false</LinksUpToDate>
  <CharactersWithSpaces>1568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2025-08-18T07:16:00Z</dcterms:created>
  <dc:creator>小宝子</dc:creator>
  <cp:lastModifiedBy>小宝子</cp:lastModifiedBy>
  <dcterms:modified xsi:type="dcterms:W3CDTF">2025-08-18T07:36:15Z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BBAE9AD44A724F9D8CF010CEFDFE6FA4_11</vt:lpwstr>
  </property>
  <property fmtid="{D5CDD505-2E9C-101B-9397-08002B2CF9AE}" pid="4" name="KSOTemplateDocerSaveRecord">
    <vt:lpwstr>eyJoZGlkIjoiODdlNTA5MjE3NGVlNGUwNDAwZGIxMDMyZDYyMzI1MDciLCJ1c2VySWQiOiI2MTA5MDI3OTEifQ==</vt:lpwstr>
  </property>
</Properties>
</file>