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app.xml" Type="http://schemas.openxmlformats.org/officeDocument/2006/relationships/extended-properties" Id="rId2"/>
    <Relationship Target="docProps/core.xml" Type="http://schemas.openxmlformats.org/package/2006/relationships/metadata/core-properties" Id="rId3"/>
</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body>
    <!-- Modified by docx4j 6.1.1 (Apache licensed) using ORACLE_JRE JAXB in Oracle Java 1.8.0_162 on Linux -->
    <w:p w:rsidR="009F0536" w14:paraId="2945DC3E" w14:textId="77777777">
      <w:pPr>
        <w:spacing w:line="360" w:lineRule="auto"/>
        <w:jc w:val="center"/>
        <w:rPr>
          <w:rFonts w:ascii="宋体" w:hAnsi="宋体"/>
          <w:sz w:val="24"/>
        </w:rPr>
      </w:pPr>
    </w:p>
    <w:p w:rsidR="009F0536" w14:paraId="781F0199" w14:textId="77777777">
      <w:pPr>
        <w:spacing w:line="360" w:lineRule="auto"/>
        <w:jc w:val="center"/>
        <w:rPr>
          <w:rFonts w:ascii="宋体" w:hAnsi="宋体"/>
          <w:sz w:val="24"/>
        </w:rPr>
      </w:pPr>
    </w:p>
    <w:p w:rsidR="009F0536" w14:paraId="588D4AEF" w14:textId="77777777">
      <w:pPr>
        <w:spacing w:line="360" w:lineRule="auto"/>
        <w:jc w:val="center"/>
        <w:rPr>
          <w:rFonts w:ascii="宋体" w:hAnsi="宋体"/>
          <w:sz w:val="24"/>
        </w:rPr>
      </w:pPr>
    </w:p>
    <w:p w:rsidR="009F0536" w14:paraId="3F809282" w14:textId="77777777">
      <w:pPr>
        <w:spacing w:line="360" w:lineRule="auto"/>
        <w:jc w:val="center"/>
        <w:rPr>
          <w:rFonts w:ascii="宋体" w:hAnsi="宋体"/>
          <w:sz w:val="24"/>
        </w:rPr>
      </w:pPr>
    </w:p>
    <w:p w:rsidR="009F0536" w14:paraId="42815D58" w14:textId="42FD7489">
      <w:pPr>
        <w:spacing w:line="360" w:lineRule="auto"/>
        <w:jc w:val="center"/>
        <w:rPr>
          <w:rFonts w:ascii="宋体" w:hAnsi="宋体"/>
          <w:b/>
          <w:bCs/>
          <w:sz w:val="52"/>
          <w:szCs w:val="52"/>
        </w:rPr>
      </w:pPr>
      <w:r>
        <w:rPr>
          <w:rFonts w:ascii="宋体" w:hAnsi="宋体"/>
          <w:b/>
          <w:bCs/>
          <w:sz w:val="52"/>
          <w:szCs w:val="52"/>
        </w:rPr>
        <w:t>2023</w:t>
      </w:r>
      <w:r w:rsidR="00AB013A">
        <w:rPr>
          <w:rFonts w:hint="eastAsia" w:ascii="宋体" w:hAnsi="宋体"/>
          <w:b/>
          <w:bCs/>
          <w:sz w:val="52"/>
          <w:szCs w:val="52"/>
        </w:rPr>
        <w:t>年度</w:t>
      </w:r>
      <w:r>
        <w:rPr>
          <w:rFonts w:hint="eastAsia" w:ascii="宋体" w:hAnsi="宋体"/>
          <w:b/>
          <w:bCs/>
          <w:sz w:val="52"/>
          <w:szCs w:val="52"/>
        </w:rPr>
        <w:t>内蒙古自治区通辽市科学技术协会（部门）</w:t>
      </w:r>
    </w:p>
    <w:p w:rsidR="009F0536" w14:paraId="77E6C3D2" w14:textId="46318821">
      <w:pPr>
        <w:spacing w:line="360" w:lineRule="auto"/>
        <w:jc w:val="center"/>
        <w:rPr>
          <w:rFonts w:ascii="宋体" w:hAnsi="宋体"/>
          <w:b/>
          <w:bCs/>
          <w:sz w:val="52"/>
          <w:szCs w:val="52"/>
        </w:rPr>
      </w:pPr>
      <w:r>
        <w:rPr>
          <w:rFonts w:hint="eastAsia" w:ascii="宋体" w:hAnsi="宋体"/>
          <w:b/>
          <w:bCs/>
          <w:sz w:val="52"/>
          <w:szCs w:val="52"/>
        </w:rPr>
        <w:t>公开文档</w:t>
      </w:r>
    </w:p>
    <w:p w:rsidR="009F0536" w14:paraId="6AF33ABC" w14:textId="77777777">
      <w:pPr>
        <w:spacing w:line="360" w:lineRule="auto"/>
        <w:jc w:val="center"/>
        <w:rPr>
          <w:rFonts w:ascii="宋体" w:hAnsi="宋体"/>
          <w:b/>
          <w:bCs/>
          <w:sz w:val="52"/>
          <w:szCs w:val="52"/>
        </w:rPr>
      </w:pPr>
    </w:p>
    <w:p w:rsidR="009F0536" w14:paraId="10212A6C" w14:textId="77777777">
      <w:pPr>
        <w:spacing w:line="360" w:lineRule="auto"/>
        <w:jc w:val="center"/>
        <w:rPr>
          <w:rFonts w:ascii="宋体" w:hAnsi="宋体"/>
          <w:b/>
          <w:bCs/>
          <w:sz w:val="52"/>
          <w:szCs w:val="52"/>
        </w:rPr>
      </w:pPr>
    </w:p>
    <w:p w:rsidR="009F0536" w14:paraId="636528E7" w14:textId="77777777">
      <w:pPr>
        <w:spacing w:line="360" w:lineRule="auto"/>
        <w:jc w:val="center"/>
        <w:rPr>
          <w:rFonts w:ascii="宋体" w:hAnsi="宋体"/>
          <w:b/>
          <w:bCs/>
          <w:sz w:val="52"/>
          <w:szCs w:val="52"/>
        </w:rPr>
      </w:pPr>
    </w:p>
    <w:p w:rsidR="009F0536" w14:paraId="3ADF248C" w14:textId="77777777">
      <w:pPr>
        <w:spacing w:line="360" w:lineRule="auto"/>
        <w:jc w:val="center"/>
        <w:rPr>
          <w:rFonts w:ascii="宋体" w:hAnsi="宋体"/>
          <w:b/>
          <w:bCs/>
          <w:sz w:val="52"/>
          <w:szCs w:val="52"/>
        </w:rPr>
      </w:pPr>
    </w:p>
    <w:p w:rsidR="009F0536" w14:paraId="1D89E7A7" w14:textId="77777777">
      <w:pPr>
        <w:spacing w:line="360" w:lineRule="auto"/>
        <w:jc w:val="center"/>
        <w:rPr>
          <w:rFonts w:ascii="宋体" w:hAnsi="宋体"/>
          <w:b/>
          <w:bCs/>
          <w:sz w:val="52"/>
          <w:szCs w:val="52"/>
        </w:rPr>
      </w:pPr>
    </w:p>
    <w:p w:rsidRPr="009E227B" w:rsidR="009F0536" w:rsidP="009E227B" w14:paraId="6C9B9DF2" w14:textId="69866F74">
      <w:pPr>
        <w:spacing w:line="360" w:lineRule="auto"/>
        <w:ind w:firstLine="2240" w:firstLineChars="700"/>
        <w:jc w:val="left"/>
        <w:rPr>
          <w:rFonts w:ascii="宋体" w:hAnsi="宋体"/>
          <w:sz w:val="32"/>
          <w:szCs w:val="32"/>
        </w:rPr>
      </w:pPr>
      <w:r>
        <w:rPr>
          <w:rFonts w:hint="eastAsia" w:ascii="宋体" w:hAnsi="宋体"/>
          <w:sz w:val="32"/>
          <w:szCs w:val="32"/>
        </w:rPr>
        <w:t>部门（单位）名称：</w:t>
      </w:r>
      <w:r w:rsidR="009E227B">
        <w:rPr>
          <w:rFonts w:hint="eastAsia" w:ascii="宋体" w:hAnsi="宋体"/>
          <w:sz w:val="32"/>
          <w:szCs w:val="32"/>
        </w:rPr>
        <w:t>内蒙古自治区通辽市科学技术协会（部门）</w:t>
      </w:r>
    </w:p>
    <w:p w:rsidR="009F0536" w:rsidP="005011E1" w14:paraId="29073C42" w14:textId="22E5ABDD">
      <w:pPr>
        <w:spacing w:line="360" w:lineRule="auto"/>
        <w:ind w:firstLine="2240" w:firstLineChars="700"/>
        <w:jc w:val="left"/>
        <w:rPr>
          <w:rFonts w:ascii="宋体" w:hAnsi="宋体"/>
          <w:sz w:val="32"/>
          <w:szCs w:val="32"/>
        </w:rPr>
      </w:pPr>
      <w:r>
        <w:rPr>
          <w:rFonts w:hint="eastAsia" w:ascii="宋体" w:hAnsi="宋体"/>
          <w:sz w:val="32"/>
          <w:szCs w:val="32"/>
        </w:rPr>
        <w:t>单位负责人：</w:t>
      </w:r>
      <w:r w:rsidR="009E227B">
        <w:rPr>
          <w:rFonts w:hint="eastAsia" w:ascii="宋体" w:hAnsi="宋体"/>
          <w:sz w:val="32"/>
          <w:szCs w:val="32"/>
        </w:rPr>
        <w:t>青格乐图</w:t>
      </w:r>
    </w:p>
    <w:p w:rsidR="009F0536" w:rsidP="005011E1" w14:paraId="159F86D2" w14:textId="31B994AC">
      <w:pPr>
        <w:spacing w:line="360" w:lineRule="auto"/>
        <w:ind w:firstLine="2240" w:firstLineChars="700"/>
        <w:jc w:val="left"/>
        <w:rPr>
          <w:rFonts w:ascii="宋体" w:hAnsi="宋体"/>
          <w:sz w:val="32"/>
          <w:szCs w:val="32"/>
        </w:rPr>
      </w:pPr>
      <w:r>
        <w:rPr>
          <w:rFonts w:hint="eastAsia" w:ascii="宋体" w:hAnsi="宋体"/>
          <w:sz w:val="32"/>
          <w:szCs w:val="32"/>
        </w:rPr>
        <w:t>财务负责人：</w:t>
      </w:r>
      <w:r w:rsidR="009E227B">
        <w:rPr>
          <w:rFonts w:hint="eastAsia" w:ascii="宋体" w:hAnsi="宋体"/>
          <w:sz w:val="32"/>
          <w:szCs w:val="32"/>
        </w:rPr>
        <w:t>耐日勒图</w:t>
      </w:r>
    </w:p>
    <w:p w:rsidR="009F0536" w:rsidP="005011E1" w14:paraId="2403EDC6" w14:textId="728440CA">
      <w:pPr>
        <w:spacing w:line="360" w:lineRule="auto"/>
        <w:ind w:firstLine="2240" w:firstLineChars="700"/>
        <w:jc w:val="left"/>
        <w:rPr>
          <w:rFonts w:ascii="宋体" w:hAnsi="宋体"/>
          <w:sz w:val="32"/>
          <w:szCs w:val="32"/>
        </w:rPr>
      </w:pPr>
      <w:r>
        <w:rPr>
          <w:rFonts w:hint="eastAsia" w:ascii="宋体" w:hAnsi="宋体"/>
          <w:sz w:val="32"/>
          <w:szCs w:val="32"/>
        </w:rPr>
        <w:t>编制人：</w:t>
      </w:r>
      <w:r w:rsidR="009E227B">
        <w:rPr>
          <w:rFonts w:hint="eastAsia" w:ascii="宋体" w:hAnsi="宋体"/>
          <w:sz w:val="32"/>
          <w:szCs w:val="32"/>
        </w:rPr>
        <w:t>吴黎黎</w:t>
      </w:r>
    </w:p>
    <w:p w:rsidR="009F0536" w:rsidP="005011E1" w14:paraId="45C58358" w14:textId="3755741C">
      <w:pPr>
        <w:spacing w:line="360" w:lineRule="auto"/>
        <w:ind w:firstLine="2240" w:firstLineChars="700"/>
        <w:jc w:val="left"/>
        <w:rPr>
          <w:rFonts w:ascii="宋体" w:hAnsi="宋体"/>
          <w:sz w:val="32"/>
          <w:szCs w:val="32"/>
        </w:rPr>
      </w:pPr>
      <w:r>
        <w:rPr>
          <w:rFonts w:hint="eastAsia" w:ascii="宋体" w:hAnsi="宋体"/>
          <w:sz w:val="32"/>
          <w:szCs w:val="32"/>
        </w:rPr>
        <w:t>报送日期：</w:t>
      </w:r>
      <w:r w:rsidR="009E227B">
        <w:rPr>
          <w:rFonts w:ascii="宋体" w:hAnsi="宋体"/>
          <w:sz w:val="32"/>
          <w:szCs w:val="32"/>
        </w:rPr>
        <w:t>2024</w:t>
      </w:r>
      <w:r>
        <w:rPr>
          <w:rFonts w:hint="eastAsia" w:ascii="宋体" w:hAnsi="宋体"/>
          <w:sz w:val="32"/>
          <w:szCs w:val="32"/>
        </w:rPr>
        <w:t>年</w:t>
      </w:r>
      <w:r w:rsidR="009E227B">
        <w:rPr>
          <w:rFonts w:hint="eastAsia" w:ascii="宋体" w:hAnsi="宋体"/>
          <w:sz w:val="32"/>
          <w:szCs w:val="32"/>
        </w:rPr>
        <w:t>9</w:t>
      </w:r>
      <w:r>
        <w:rPr>
          <w:rFonts w:hint="eastAsia" w:ascii="宋体" w:hAnsi="宋体"/>
          <w:sz w:val="32"/>
          <w:szCs w:val="32"/>
        </w:rPr>
        <w:t>月</w:t>
      </w:r>
    </w:p>
    <w:p w:rsidR="009F0536" w:rsidP="00312846" w14:paraId="454CAC92" w14:textId="77777777">
      <w:pPr>
        <w:ind w:firstLine="2240" w:firstLineChars="700"/>
        <w:rPr>
          <w:rFonts w:ascii="仿宋" w:hAnsi="仿宋" w:eastAsia="仿宋"/>
          <w:b/>
          <w:sz w:val="32"/>
          <w:szCs w:val="32"/>
        </w:rPr>
        <w:sectPr>
          <w:footerReference w:type="default" r:id="rId5"/>
          <w:pgSz w:w="11906" w:h="16838" w:code="9"/>
          <w:pgMar w:top="1440" w:right="1083" w:bottom="1440" w:left="1083" w:header="0" w:footer="720" w:gutter="0"/>
          <w:cols w:space="425"/>
          <w:docGrid w:type="lines" w:linePitch="312"/>
        </w:sectPr>
      </w:pPr>
    </w:p>
    <w:p w:rsidR="001814D4" w:rsidP="00490629" w14:paraId="7342F8BA" w14:textId="18EDE2D1">
      <w:pPr>
        <w:adjustRightInd w:val="false"/>
        <w:snapToGrid w:val="false"/>
        <w:rPr>
          <w:rFonts w:ascii="宋体" w:hAnsi="宋体"/>
          <w:b/>
          <w:sz w:val="32"/>
          <w:szCs w:val="32"/>
        </w:rPr>
      </w:pPr>
    </w:p>
    <w:p w:rsidR="001814D4" w:rsidP="001814D4" w14:paraId="4A679AAA" w14:textId="77777777">
      <w:pPr>
        <w:adjustRightInd w:val="false"/>
        <w:snapToGrid w:val="false"/>
        <w:jc w:val="center"/>
        <w:rPr>
          <w:noProof/>
        </w:rPr>
      </w:pPr>
    </w:p>
    <w:p w:rsidRPr="001814D4" w:rsidR="009F0536" w:rsidP="00FA7CA5" w14:paraId="574E833F" w14:textId="6B4CEB8F">
      <w:pPr>
        <w:adjustRightInd w:val="false"/>
        <w:snapToGrid w:val="false"/>
        <w:rPr>
          <w:rFonts w:ascii="宋体" w:hAnsi="宋体"/>
          <w:b/>
          <w:sz w:val="32"/>
          <w:szCs w:val="32"/>
        </w:rPr>
      </w:pPr>
    </w:p>
    <w:p w:rsidR="009F0536" w:rsidP="00954CD9" w14:paraId="508CBC77" w14:textId="0CFD8049">
      <w:pPr>
        <w:pStyle w:val="Heading1"/>
      </w:pPr>
      <w:r>
        <w:rPr>
          <w:rFonts w:hint="eastAsia"/>
        </w:rPr>
        <w:t>公开文档</w:t>
      </w:r>
    </w:p>
    <w:p w14:paraId="1C9A9517" w14:textId="77777777">
      <w:pPr>
        <w:widowControl/>
        <w:spacing w:after="240"/>
        <w:jc w:val="center"/>
        <w:rPr>
          <w:rFonts w:ascii="Times New Roman" w:hAnsi="Times New Roman" w:eastAsia="Times New Roman" w:cs="Times New Roman"/>
          <w:kern w:val="0"/>
          <w:sz w:val="24"/>
        </w:rPr>
      </w:pPr>
      <w:bookmarkStart w:name="a000" w:id="0"/>
      <w:r>
        <w:rPr>
          <w:rFonts w:ascii="fang_song_gb2312" w:hAnsi="fang_song_gb2312" w:eastAsia="fang_song_gb2312" w:cs="fang_song_gb2312"/>
          <w:b/>
          <w:bCs/>
          <w:kern w:val="0"/>
          <w:sz w:val="54"/>
          <w:szCs w:val="54"/>
        </w:rPr>
        <w:t>目</w:t>
      </w:r>
      <w:r>
        <w:rPr>
          <w:rFonts w:ascii="fang_song_gb2312" w:hAnsi="fang_song_gb2312" w:eastAsia="fang_song_gb2312" w:cs="fang_song_gb2312"/>
          <w:b/>
          <w:bCs/>
          <w:kern w:val="0"/>
          <w:sz w:val="54"/>
          <w:szCs w:val="54"/>
        </w:rPr>
        <w:t xml:space="preserve"> </w:t>
      </w:r>
      <w:r>
        <w:rPr>
          <w:rFonts w:ascii="fang_song_gb2312" w:hAnsi="fang_song_gb2312" w:eastAsia="fang_song_gb2312" w:cs="fang_song_gb2312"/>
          <w:b/>
          <w:bCs/>
          <w:kern w:val="0"/>
          <w:sz w:val="54"/>
          <w:szCs w:val="54"/>
        </w:rPr>
        <w:t>录</w:t>
      </w:r>
    </w:p>
    <w:p>
      <w:pPr>
        <w:widowControl/>
        <w:spacing w:before="240" w:after="240"/>
        <w:jc w:val="left"/>
        <w:rPr>
          <w:rFonts w:ascii="Times New Roman" w:hAnsi="Times New Roman" w:eastAsia="Times New Roman" w:cs="Times New Roman"/>
          <w:kern w:val="0"/>
          <w:sz w:val="24"/>
        </w:rPr>
      </w:pPr>
      <w:r>
        <w:rPr>
          <w:rFonts w:ascii="Times New Roman" w:hAnsi="Times New Roman" w:eastAsia="Times New Roman" w:cs="Times New Roman"/>
          <w:b/>
          <w:bCs/>
          <w:kern w:val="0"/>
          <w:sz w:val="24"/>
        </w:rPr>
        <w:t> </w:t>
      </w:r>
    </w:p>
    <w:p>
      <w:pPr>
        <w:widowControl/>
        <w:spacing w:before="240" w:after="240"/>
        <w:jc w:val="left"/>
        <w:rPr>
          <w:rFonts w:ascii="Times New Roman" w:hAnsi="Times New Roman" w:eastAsia="Times New Roman" w:cs="Times New Roman"/>
          <w:kern w:val="0"/>
          <w:sz w:val="24"/>
        </w:rPr>
      </w:pPr>
      <w:r>
        <w:rPr>
          <w:rFonts w:ascii="SimHei" w:hAnsi="SimHei" w:eastAsia="SimHei" w:cs="SimHei"/>
          <w:kern w:val="0"/>
          <w:sz w:val="27"/>
          <w:szCs w:val="27"/>
        </w:rPr>
        <w:t>第一部分 部门（单位）概况</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一、主要职能、职责</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二、部门（单位）机构设置及决算单位构成情况</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三、</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年度部门（单位）主要工作完成情况</w:t>
      </w:r>
    </w:p>
    <w:p>
      <w:pPr>
        <w:widowControl/>
        <w:spacing w:before="240" w:after="240"/>
        <w:jc w:val="left"/>
        <w:rPr>
          <w:rFonts w:ascii="Times New Roman" w:hAnsi="Times New Roman" w:eastAsia="Times New Roman" w:cs="Times New Roman"/>
          <w:kern w:val="0"/>
          <w:sz w:val="24"/>
        </w:rPr>
      </w:pPr>
      <w:r>
        <w:rPr>
          <w:rFonts w:ascii="SimHei" w:hAnsi="SimHei" w:eastAsia="SimHei" w:cs="SimHei"/>
          <w:kern w:val="0"/>
          <w:sz w:val="27"/>
          <w:szCs w:val="27"/>
        </w:rPr>
        <w:t>第二部分 部门（单位）决算情况说明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一、收入支出决算总体情况说明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二、收入决算情况说明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三、支出决算情况说明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四、财政拨款收入支出决算总体情况说明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五、一般公共预算财政拨款支出决算情况说明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六、一般公共预算财政拨款基本支出决算情况说明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七、一般公共预算财政拨款项目支出决算情况说明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八、财政拨款“三公”经费支出决算情况说明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九、政府性基金预算财政拨款支出决算情况说明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十、国有资本经营预算财政拨款支出决算情况说明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十一、机构运行经费支出决算情况说明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十二、政府采购支出决算情况说明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十三、国有资产占用情况说明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十四、预算绩效情况说明</w:t>
      </w:r>
    </w:p>
    <w:p>
      <w:pPr>
        <w:widowControl/>
        <w:spacing w:before="240" w:after="240"/>
        <w:jc w:val="left"/>
        <w:rPr>
          <w:rFonts w:ascii="Times New Roman" w:hAnsi="Times New Roman" w:eastAsia="Times New Roman" w:cs="Times New Roman"/>
          <w:kern w:val="0"/>
          <w:sz w:val="24"/>
        </w:rPr>
      </w:pPr>
      <w:r>
        <w:rPr>
          <w:rFonts w:ascii="SimHei" w:hAnsi="SimHei" w:eastAsia="SimHei" w:cs="SimHei"/>
          <w:kern w:val="0"/>
          <w:sz w:val="27"/>
          <w:szCs w:val="27"/>
        </w:rPr>
        <w:t>第三部分 名词解释</w:t>
      </w:r>
    </w:p>
    <w:p>
      <w:pPr>
        <w:widowControl/>
        <w:spacing w:before="240" w:after="240"/>
        <w:jc w:val="left"/>
        <w:rPr>
          <w:rFonts w:ascii="Times New Roman" w:hAnsi="Times New Roman" w:eastAsia="Times New Roman" w:cs="Times New Roman"/>
          <w:kern w:val="0"/>
          <w:sz w:val="24"/>
        </w:rPr>
      </w:pPr>
      <w:r>
        <w:rPr>
          <w:rFonts w:ascii="SimHei" w:hAnsi="SimHei" w:eastAsia="SimHei" w:cs="SimHei"/>
          <w:kern w:val="0"/>
          <w:sz w:val="27"/>
          <w:szCs w:val="27"/>
        </w:rPr>
        <w:t>第四部分 决算公开联系方式及信息反馈渠道</w:t>
      </w:r>
    </w:p>
    <w:p>
      <w:pPr>
        <w:widowControl/>
        <w:spacing w:before="240" w:after="240"/>
        <w:jc w:val="left"/>
        <w:rPr>
          <w:rFonts w:ascii="Times New Roman" w:hAnsi="Times New Roman" w:eastAsia="Times New Roman" w:cs="Times New Roman"/>
          <w:kern w:val="0"/>
          <w:sz w:val="24"/>
        </w:rPr>
      </w:pPr>
      <w:r>
        <w:rPr>
          <w:rFonts w:ascii="SimHei" w:hAnsi="SimHei" w:eastAsia="SimHei" w:cs="SimHei"/>
          <w:kern w:val="0"/>
          <w:sz w:val="27"/>
          <w:szCs w:val="27"/>
        </w:rPr>
        <w:t>第五部分 部门（单位）决算表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一、收入支出决算总表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二、收入决算表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三、支出决算表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四、财政拨款收入支出决算总表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五、一般公共预算财政拨款支出决算表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六、一般公共预算财政拨款基本支出决算明细表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七、一般公共预算财政拨款项目支出决算明细表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八、政府性基金预算财政拨款收入支出决算表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九、国有资本经营预算财政拨款支出决算表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十、财政拨款“三公”经费支出决算表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十一、机构运行经费支出、国有资产占用情况及政府采购支出信息表</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特别强调1：每个公开位置要精准上传指定报表，切忌重复公开多个决算公开表；没有数据的报表也要上传空表，并在报表合计数处填“0”，同时在报表下方说明空表原因。</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特别强调2：公开报表缩放比例要适当，最好保持在80%-100%。</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特别强调3：部门（单位）是决算公开的主体，部门（单位）对公开信息的真实性、准确性和完整性负责，并做好决算公开后的说明解释工作。依法确定为国家秘密的信息不予公开；涉密信息经法定程序解密并删除涉密内容后，予以公开。决算公开报告模板中蓝色字体是提示性语句，需根据提示性语句进行补充完善。要将模板提取的数据与决算报送终稿数据进行比对。模板中关于“增加（减少）、增长（减少）”的表述，如果对应提取数据为正数时，删除“（减少）”；如果对应提取数据为负数时，删除“增加”或“增长”、负号、以及减少两边的括号。公开时，报告中不要“残留”模板内容。</w:t>
      </w:r>
    </w:p>
    <w:p>
      <w:pPr>
        <w:widowControl/>
        <w:spacing w:before="240" w:after="240"/>
        <w:rPr>
          <w:rFonts w:ascii="Times New Roman" w:hAnsi="Times New Roman" w:eastAsia="Times New Roman" w:cs="Times New Roman"/>
          <w:kern w:val="0"/>
          <w:sz w:val="24"/>
        </w:rPr>
      </w:pPr>
    </w:p>
    <w:p>
      <w:pPr>
        <w:widowControl/>
        <w:spacing w:before="240" w:after="240"/>
        <w:jc w:val="center"/>
        <w:rPr>
          <w:rFonts w:ascii="Times New Roman" w:hAnsi="Times New Roman" w:eastAsia="Times New Roman" w:cs="Times New Roman"/>
          <w:kern w:val="0"/>
          <w:sz w:val="24"/>
        </w:rPr>
      </w:pPr>
      <w:r>
        <w:rPr>
          <w:rFonts w:ascii="fang_zheng_xiao_biao_song_ti" w:hAnsi="fang_zheng_xiao_biao_song_ti" w:eastAsia="fang_zheng_xiao_biao_song_ti" w:cs="fang_zheng_xiao_biao_song_ti"/>
          <w:b/>
          <w:bCs/>
          <w:color w:val="000000"/>
          <w:kern w:val="0"/>
          <w:sz w:val="36"/>
          <w:szCs w:val="36"/>
        </w:rPr>
        <w:t>第一部分 部门（单位）概况</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SimHei" w:hAnsi="SimHei" w:eastAsia="SimHei" w:cs="SimHei"/>
          <w:b/>
          <w:bCs/>
          <w:kern w:val="0"/>
          <w:sz w:val="27"/>
          <w:szCs w:val="27"/>
        </w:rPr>
        <w:t xml:space="preserve"> </w:t>
      </w:r>
      <w:r>
        <w:rPr>
          <w:rFonts w:ascii="Calibri" w:hAnsi="Calibri" w:eastAsia="Calibri" w:cs="Calibri"/>
          <w:b/>
          <w:bCs/>
          <w:kern w:val="0"/>
          <w:sz w:val="27"/>
          <w:szCs w:val="27"/>
        </w:rPr>
        <w:t> </w:t>
      </w:r>
      <w:r>
        <w:rPr>
          <w:rFonts w:ascii="SimHei" w:hAnsi="SimHei" w:eastAsia="SimHei" w:cs="SimHei"/>
          <w:b/>
          <w:bCs/>
          <w:kern w:val="0"/>
          <w:sz w:val="27"/>
          <w:szCs w:val="27"/>
        </w:rPr>
        <w:t xml:space="preserve"> 一、主要职能、职责</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部门（单位）公开的名称一定是全称并在报告和报表中保持一致，如果由于机构变革导致名称等与上年度信息偏差较大，则在此应说明。如部门（单位）属于新设立单位等原因，导致无法与上年决算做对比的，应公开“我部门（单位）为XX年度新设立部门（单位），无法与上年决算做对比”。</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SimHei" w:hAnsi="SimHei" w:eastAsia="SimHei" w:cs="SimHei"/>
          <w:b/>
          <w:bCs/>
          <w:kern w:val="0"/>
          <w:sz w:val="27"/>
          <w:szCs w:val="27"/>
        </w:rPr>
        <w:t xml:space="preserve"> </w:t>
      </w:r>
      <w:r>
        <w:rPr>
          <w:rFonts w:ascii="Calibri" w:hAnsi="Calibri" w:eastAsia="Calibri" w:cs="Calibri"/>
          <w:b/>
          <w:bCs/>
          <w:kern w:val="0"/>
          <w:sz w:val="27"/>
          <w:szCs w:val="27"/>
        </w:rPr>
        <w:t> </w:t>
      </w:r>
      <w:r>
        <w:rPr>
          <w:rFonts w:ascii="SimHei" w:hAnsi="SimHei" w:eastAsia="SimHei" w:cs="SimHei"/>
          <w:b/>
          <w:bCs/>
          <w:kern w:val="0"/>
          <w:sz w:val="27"/>
          <w:szCs w:val="27"/>
        </w:rPr>
        <w:t xml:space="preserve"> 二、部门（单位）机构设置及决算单位构成情况</w:t>
      </w:r>
    </w:p>
    <w:p>
      <w:pPr>
        <w:widowControl/>
        <w:spacing w:before="240" w:after="240"/>
        <w:rPr>
          <w:rFonts w:ascii="Times New Roman" w:hAnsi="Times New Roman" w:eastAsia="Times New Roman" w:cs="Times New Roman"/>
          <w:kern w:val="0"/>
          <w:sz w:val="24"/>
        </w:rPr>
      </w:pPr>
      <w:r>
        <w:rPr>
          <w:rFonts w:ascii="times_new_roman" w:hAnsi="times_new_roman" w:eastAsia="times_new_roman" w:cs="times_new_roman"/>
          <w:kern w:val="0"/>
          <w:sz w:val="27"/>
          <w:szCs w:val="27"/>
        </w:rPr>
        <w:t>    1</w:t>
      </w:r>
      <w:r>
        <w:rPr>
          <w:rFonts w:ascii="fang_song_gb2312" w:hAnsi="fang_song_gb2312" w:eastAsia="fang_song_gb2312" w:cs="fang_song_gb2312"/>
          <w:kern w:val="0"/>
          <w:sz w:val="27"/>
          <w:szCs w:val="27"/>
        </w:rPr>
        <w:t>.根据部门（单位）职责分工，本部门（单位）内设机构包括……。本部门（单位）下属单位包括：……。</w:t>
      </w:r>
      <w:r>
        <w:rPr>
          <w:rFonts w:ascii="fang_song_gb2312" w:hAnsi="fang_song_gb2312" w:eastAsia="fang_song_gb2312" w:cs="fang_song_gb2312"/>
          <w:color w:val="0E00FE"/>
          <w:kern w:val="0"/>
          <w:sz w:val="27"/>
          <w:szCs w:val="27"/>
        </w:rPr>
        <w:t>（注：如无下属单位，应写明“本部门（单位）无下属单位”）</w:t>
      </w:r>
    </w:p>
    <w:p>
      <w:pPr>
        <w:widowControl/>
        <w:spacing w:before="240" w:after="240"/>
        <w:rPr>
          <w:rFonts w:ascii="Times New Roman" w:hAnsi="Times New Roman" w:eastAsia="Times New Roman" w:cs="Times New Roman"/>
          <w:kern w:val="0"/>
          <w:sz w:val="24"/>
        </w:rPr>
      </w:pPr>
      <w:r>
        <w:rPr>
          <w:rFonts w:ascii="times_new_roman" w:hAnsi="times_new_roman" w:eastAsia="times_new_roman" w:cs="times_new_roman"/>
          <w:kern w:val="0"/>
          <w:sz w:val="27"/>
          <w:szCs w:val="27"/>
        </w:rPr>
        <w:t>    2</w:t>
      </w:r>
      <w:r>
        <w:rPr>
          <w:rFonts w:ascii="fang_song_gb2312" w:hAnsi="fang_song_gb2312" w:eastAsia="fang_song_gb2312" w:cs="fang_song_gb2312"/>
          <w:kern w:val="0"/>
          <w:sz w:val="27"/>
          <w:szCs w:val="27"/>
        </w:rPr>
        <w:t>.从决算单位构成看，纳入本财政汇总决算编制范围的预算单位共计</w:t>
      </w:r>
      <w:r>
        <w:rPr>
          <w:rFonts w:ascii="fang_song_gb2312" w:hAnsi="fang_song_gb2312" w:eastAsia="fang_song_gb2312" w:cs="fang_song_gb2312"/>
          <w:kern w:val="0"/>
          <w:sz w:val="27"/>
          <w:szCs w:val="27"/>
          <w:u w:val="single"/>
        </w:rPr>
        <w:t>XX</w:t>
      </w:r>
      <w:r>
        <w:rPr>
          <w:rFonts w:ascii="fang_song_gb2312" w:hAnsi="fang_song_gb2312" w:eastAsia="fang_song_gb2312" w:cs="fang_song_gb2312"/>
          <w:kern w:val="0"/>
          <w:sz w:val="27"/>
          <w:szCs w:val="27"/>
        </w:rPr>
        <w:t>家，具体包括：XX部门本级、XX、……。详细情况见表：</w:t>
      </w:r>
    </w:p>
    <w:tbl>
      <w:tblPr>
        <w:tblW w:w="3516" w:type="pct"/>
        <w:jc w:val="center"/>
        <w:tblInd w:w="30" w:type="dxa"/>
        <w:tblBorders>
          <w:top w:val="outset" w:color="808080" w:sz="6" w:space="0"/>
          <w:left w:val="outset" w:color="808080" w:sz="6" w:space="0"/>
          <w:bottom w:val="outset" w:color="808080" w:sz="6" w:space="0"/>
          <w:right w:val="outset" w:color="808080" w:sz="6" w:space="0"/>
        </w:tblBorders>
        <w:tblCellMar>
          <w:top w:w="15" w:type="dxa"/>
          <w:left w:w="15" w:type="dxa"/>
          <w:bottom w:w="15" w:type="dxa"/>
          <w:right w:w="15" w:type="dxa"/>
        </w:tblCellMar>
      </w:tblPr>
      <w:tblGrid>
        <w:gridCol w:w="559"/>
        <w:gridCol w:w="3135"/>
        <w:gridCol w:w="3104"/>
      </w:tblGrid>
      <w:tr>
        <w:tblPrEx>
          <w:tblW w:w="3516" w:type="pct"/>
          <w:jc w:val="center"/>
          <w:tblInd w:w="30" w:type="dxa"/>
          <w:tblBorders>
            <w:top w:val="outset" w:color="808080" w:sz="6" w:space="0"/>
            <w:left w:val="outset" w:color="808080" w:sz="6" w:space="0"/>
            <w:bottom w:val="outset" w:color="808080" w:sz="6" w:space="0"/>
            <w:right w:val="outset" w:color="808080" w:sz="6" w:space="0"/>
          </w:tblBorders>
          <w:tblCellMar>
            <w:top w:w="15" w:type="dxa"/>
            <w:left w:w="15" w:type="dxa"/>
            <w:bottom w:w="15" w:type="dxa"/>
            <w:right w:w="15" w:type="dxa"/>
          </w:tblCellMar>
        </w:tblPrEx>
        <w:trPr>
          <w:trHeight w:val="460"/>
          <w:jc w:val="center"/>
          <w:tblHeader/>
        </w:trPr>
        <w:tc>
          <w:tcPr>
            <w:tcW w:w="411" w:type="pct"/>
            <w:tcBorders>
              <w:bottom w:val="inset" w:color="808080" w:sz="6" w:space="0"/>
              <w:right w:val="inset" w:color="808080" w:sz="6" w:space="0"/>
            </w:tcBorders>
            <w:noWrap w:val="false"/>
            <w:tcMar>
              <w:top w:w="22" w:type="dxa"/>
              <w:left w:w="22" w:type="dxa"/>
              <w:bottom w:w="22" w:type="dxa"/>
              <w:right w:w="22" w:type="dxa"/>
            </w:tcMar>
            <w:vAlign w:val="center"/>
            <w:hideMark/>
          </w:tcPr>
          <w:p>
            <w:pPr>
              <w:widowControl/>
              <w:jc w:val="center"/>
              <w:rPr>
                <w:rFonts w:ascii="Times New Roman" w:hAnsi="Times New Roman" w:eastAsia="Times New Roman" w:cs="Times New Roman"/>
                <w:b w:val="false"/>
                <w:bCs w:val="false"/>
                <w:i w:val="false"/>
                <w:iCs w:val="false"/>
                <w:smallCaps w:val="false"/>
                <w:color w:val="000000"/>
                <w:kern w:val="0"/>
                <w:sz w:val="24"/>
              </w:rPr>
            </w:pPr>
            <w:r>
              <w:rPr>
                <w:rFonts w:ascii="fang_song_gb2312" w:hAnsi="fang_song_gb2312" w:eastAsia="fang_song_gb2312" w:cs="fang_song_gb2312"/>
                <w:b w:val="false"/>
                <w:bCs w:val="false"/>
                <w:i w:val="false"/>
                <w:iCs w:val="false"/>
                <w:smallCaps w:val="false"/>
                <w:color w:val="000000"/>
                <w:kern w:val="0"/>
                <w:sz w:val="24"/>
              </w:rPr>
              <w:t>序号</w:t>
            </w:r>
          </w:p>
        </w:tc>
        <w:tc>
          <w:tcPr>
            <w:tcW w:w="2306" w:type="pct"/>
            <w:tcBorders>
              <w:left w:val="inset" w:color="808080" w:sz="6" w:space="0"/>
              <w:bottom w:val="inset" w:color="808080" w:sz="6" w:space="0"/>
              <w:right w:val="inset" w:color="808080" w:sz="6" w:space="0"/>
            </w:tcBorders>
            <w:noWrap w:val="false"/>
            <w:tcMar>
              <w:top w:w="22" w:type="dxa"/>
              <w:left w:w="22" w:type="dxa"/>
              <w:bottom w:w="22" w:type="dxa"/>
              <w:right w:w="22" w:type="dxa"/>
            </w:tcMar>
            <w:vAlign w:val="center"/>
            <w:hideMark/>
          </w:tcPr>
          <w:p>
            <w:pPr>
              <w:widowControl/>
              <w:jc w:val="center"/>
              <w:rPr>
                <w:rFonts w:ascii="Times New Roman" w:hAnsi="Times New Roman" w:eastAsia="Times New Roman" w:cs="Times New Roman"/>
                <w:b w:val="false"/>
                <w:bCs w:val="false"/>
                <w:i w:val="false"/>
                <w:iCs w:val="false"/>
                <w:smallCaps w:val="false"/>
                <w:color w:val="000000"/>
                <w:kern w:val="0"/>
                <w:sz w:val="24"/>
              </w:rPr>
            </w:pPr>
            <w:r>
              <w:rPr>
                <w:rFonts w:ascii="fang_song_gb2312" w:hAnsi="fang_song_gb2312" w:eastAsia="fang_song_gb2312" w:cs="fang_song_gb2312"/>
                <w:b w:val="false"/>
                <w:bCs w:val="false"/>
                <w:i w:val="false"/>
                <w:iCs w:val="false"/>
                <w:smallCaps w:val="false"/>
                <w:color w:val="000000"/>
                <w:kern w:val="0"/>
                <w:sz w:val="24"/>
              </w:rPr>
              <w:t>单位名称</w:t>
            </w:r>
          </w:p>
        </w:tc>
        <w:tc>
          <w:tcPr>
            <w:tcW w:w="2283" w:type="pct"/>
            <w:tcBorders>
              <w:left w:val="inset" w:color="808080" w:sz="6" w:space="0"/>
              <w:bottom w:val="inset" w:color="808080" w:sz="6" w:space="0"/>
            </w:tcBorders>
            <w:noWrap w:val="false"/>
            <w:tcMar>
              <w:top w:w="22" w:type="dxa"/>
              <w:left w:w="22" w:type="dxa"/>
              <w:bottom w:w="22" w:type="dxa"/>
              <w:right w:w="22" w:type="dxa"/>
            </w:tcMar>
            <w:vAlign w:val="center"/>
            <w:hideMark/>
          </w:tcPr>
          <w:p>
            <w:pPr>
              <w:widowControl/>
              <w:jc w:val="center"/>
              <w:rPr>
                <w:rFonts w:ascii="Times New Roman" w:hAnsi="Times New Roman" w:eastAsia="Times New Roman" w:cs="Times New Roman"/>
                <w:b w:val="false"/>
                <w:bCs w:val="false"/>
                <w:i w:val="false"/>
                <w:iCs w:val="false"/>
                <w:smallCaps w:val="false"/>
                <w:color w:val="000000"/>
                <w:kern w:val="0"/>
                <w:sz w:val="24"/>
              </w:rPr>
            </w:pPr>
            <w:r>
              <w:rPr>
                <w:rFonts w:ascii="fang_song_gb2312" w:hAnsi="fang_song_gb2312" w:eastAsia="fang_song_gb2312" w:cs="fang_song_gb2312"/>
                <w:b w:val="false"/>
                <w:bCs w:val="false"/>
                <w:i w:val="false"/>
                <w:iCs w:val="false"/>
                <w:smallCaps w:val="false"/>
                <w:color w:val="000000"/>
                <w:kern w:val="0"/>
                <w:sz w:val="24"/>
              </w:rPr>
              <w:t>单位性质</w:t>
            </w:r>
          </w:p>
        </w:tc>
      </w:tr>
      <w:tr>
        <w:tblPrEx>
          <w:tblW w:w="3516" w:type="pct"/>
          <w:jc w:val="center"/>
          <w:tblInd w:w="30" w:type="dxa"/>
          <w:tblCellMar>
            <w:top w:w="15" w:type="dxa"/>
            <w:left w:w="15" w:type="dxa"/>
            <w:bottom w:w="15" w:type="dxa"/>
            <w:right w:w="15" w:type="dxa"/>
          </w:tblCellMar>
        </w:tblPrEx>
        <w:trPr>
          <w:trHeight w:val="369"/>
          <w:jc w:val="center"/>
        </w:trPr>
        <w:tc>
          <w:tcPr>
            <w:tcW w:w="411" w:type="pct"/>
            <w:tcBorders>
              <w:top w:val="inset" w:color="808080" w:sz="6" w:space="0"/>
              <w:bottom w:val="inset" w:color="808080" w:sz="6" w:space="0"/>
              <w:right w:val="inset" w:color="808080" w:sz="6" w:space="0"/>
            </w:tcBorders>
            <w:noWrap w:val="false"/>
            <w:tcMar>
              <w:top w:w="22" w:type="dxa"/>
              <w:left w:w="22" w:type="dxa"/>
              <w:bottom w:w="22" w:type="dxa"/>
              <w:right w:w="22" w:type="dxa"/>
            </w:tcMar>
            <w:vAlign w:val="center"/>
            <w:hideMark/>
          </w:tcPr>
          <w:p>
            <w:pPr>
              <w:widowControl/>
              <w:jc w:val="center"/>
              <w:rPr>
                <w:rFonts w:ascii="Times New Roman" w:hAnsi="Times New Roman" w:eastAsia="Times New Roman" w:cs="Times New Roman"/>
                <w:b w:val="false"/>
                <w:bCs w:val="false"/>
                <w:i w:val="false"/>
                <w:iCs w:val="false"/>
                <w:smallCaps w:val="false"/>
                <w:color w:val="000000"/>
                <w:kern w:val="0"/>
                <w:sz w:val="24"/>
              </w:rPr>
            </w:pPr>
            <w:r>
              <w:rPr>
                <w:rFonts w:ascii="fang_song_gb2312" w:hAnsi="fang_song_gb2312" w:eastAsia="fang_song_gb2312" w:cs="fang_song_gb2312"/>
                <w:b w:val="false"/>
                <w:bCs w:val="false"/>
                <w:i w:val="false"/>
                <w:iCs w:val="false"/>
                <w:smallCaps w:val="false"/>
                <w:color w:val="000000"/>
                <w:kern w:val="0"/>
                <w:sz w:val="24"/>
              </w:rPr>
              <w:t>1</w:t>
            </w:r>
          </w:p>
        </w:tc>
        <w:tc>
          <w:tcPr>
            <w:tcW w:w="2306" w:type="pct"/>
            <w:tcBorders>
              <w:top w:val="inset" w:color="808080" w:sz="6" w:space="0"/>
              <w:left w:val="inset" w:color="808080" w:sz="6" w:space="0"/>
              <w:bottom w:val="inset" w:color="808080" w:sz="6" w:space="0"/>
              <w:right w:val="inset" w:color="808080" w:sz="6" w:space="0"/>
            </w:tcBorders>
            <w:noWrap w:val="false"/>
            <w:tcMar>
              <w:top w:w="22" w:type="dxa"/>
              <w:left w:w="22" w:type="dxa"/>
              <w:bottom w:w="22" w:type="dxa"/>
              <w:right w:w="22" w:type="dxa"/>
            </w:tcMar>
            <w:vAlign w:val="center"/>
            <w:hideMark/>
          </w:tcPr>
          <w:p>
            <w:pPr>
              <w:widowControl/>
              <w:jc w:val="left"/>
              <w:rPr>
                <w:rFonts w:ascii="Times New Roman" w:hAnsi="Times New Roman" w:eastAsia="Times New Roman" w:cs="Times New Roman"/>
                <w:b w:val="false"/>
                <w:bCs w:val="false"/>
                <w:i w:val="false"/>
                <w:iCs w:val="false"/>
                <w:smallCaps w:val="false"/>
                <w:color w:val="000000"/>
                <w:kern w:val="0"/>
                <w:sz w:val="24"/>
              </w:rPr>
            </w:pPr>
            <w:r>
              <w:rPr>
                <w:rFonts w:ascii="fang_song_gb2312" w:hAnsi="fang_song_gb2312" w:eastAsia="fang_song_gb2312" w:cs="fang_song_gb2312"/>
                <w:b w:val="false"/>
                <w:bCs w:val="false"/>
                <w:i w:val="false"/>
                <w:iCs w:val="false"/>
                <w:smallCaps w:val="false"/>
                <w:color w:val="000000"/>
                <w:kern w:val="0"/>
                <w:sz w:val="24"/>
              </w:rPr>
              <w:t>XX</w:t>
            </w:r>
          </w:p>
        </w:tc>
        <w:tc>
          <w:tcPr>
            <w:tcW w:w="2283" w:type="pct"/>
            <w:tcBorders>
              <w:top w:val="inset" w:color="808080" w:sz="6" w:space="0"/>
              <w:left w:val="inset" w:color="808080" w:sz="6" w:space="0"/>
              <w:bottom w:val="inset" w:color="808080" w:sz="6" w:space="0"/>
            </w:tcBorders>
            <w:noWrap w:val="false"/>
            <w:tcMar>
              <w:top w:w="22" w:type="dxa"/>
              <w:left w:w="22" w:type="dxa"/>
              <w:bottom w:w="22" w:type="dxa"/>
              <w:right w:w="22" w:type="dxa"/>
            </w:tcMar>
            <w:vAlign w:val="center"/>
            <w:hideMark/>
          </w:tcPr>
          <w:p>
            <w:pPr>
              <w:widowControl/>
              <w:jc w:val="left"/>
              <w:rPr>
                <w:rFonts w:ascii="Times New Roman" w:hAnsi="Times New Roman" w:eastAsia="Times New Roman" w:cs="Times New Roman"/>
                <w:b w:val="false"/>
                <w:bCs w:val="false"/>
                <w:i w:val="false"/>
                <w:iCs w:val="false"/>
                <w:smallCaps w:val="false"/>
                <w:color w:val="000000"/>
                <w:kern w:val="0"/>
                <w:sz w:val="24"/>
              </w:rPr>
            </w:pPr>
            <w:r>
              <w:rPr>
                <w:rFonts w:ascii="fang_song_gb2312" w:hAnsi="fang_song_gb2312" w:eastAsia="fang_song_gb2312" w:cs="fang_song_gb2312"/>
                <w:b w:val="false"/>
                <w:bCs w:val="false"/>
                <w:i w:val="false"/>
                <w:iCs w:val="false"/>
                <w:smallCaps w:val="false"/>
                <w:color w:val="000000"/>
                <w:kern w:val="0"/>
                <w:sz w:val="24"/>
              </w:rPr>
              <w:t>财政拨款的行政单位</w:t>
            </w:r>
          </w:p>
        </w:tc>
      </w:tr>
      <w:tr>
        <w:tblPrEx>
          <w:tblW w:w="3516" w:type="pct"/>
          <w:jc w:val="center"/>
          <w:tblInd w:w="30" w:type="dxa"/>
          <w:tblCellMar>
            <w:top w:w="15" w:type="dxa"/>
            <w:left w:w="15" w:type="dxa"/>
            <w:bottom w:w="15" w:type="dxa"/>
            <w:right w:w="15" w:type="dxa"/>
          </w:tblCellMar>
        </w:tblPrEx>
        <w:trPr>
          <w:trHeight w:val="369"/>
          <w:jc w:val="center"/>
        </w:trPr>
        <w:tc>
          <w:tcPr>
            <w:tcW w:w="411" w:type="pct"/>
            <w:tcBorders>
              <w:top w:val="inset" w:color="808080" w:sz="6" w:space="0"/>
              <w:bottom w:val="inset" w:color="808080" w:sz="6" w:space="0"/>
              <w:right w:val="inset" w:color="808080" w:sz="6" w:space="0"/>
            </w:tcBorders>
            <w:noWrap w:val="false"/>
            <w:tcMar>
              <w:top w:w="22" w:type="dxa"/>
              <w:left w:w="22" w:type="dxa"/>
              <w:bottom w:w="22" w:type="dxa"/>
              <w:right w:w="22" w:type="dxa"/>
            </w:tcMar>
            <w:vAlign w:val="center"/>
            <w:hideMark/>
          </w:tcPr>
          <w:p>
            <w:pPr>
              <w:widowControl/>
              <w:jc w:val="center"/>
              <w:rPr>
                <w:rFonts w:ascii="Times New Roman" w:hAnsi="Times New Roman" w:eastAsia="Times New Roman" w:cs="Times New Roman"/>
                <w:b w:val="false"/>
                <w:bCs w:val="false"/>
                <w:i w:val="false"/>
                <w:iCs w:val="false"/>
                <w:smallCaps w:val="false"/>
                <w:color w:val="000000"/>
                <w:kern w:val="0"/>
                <w:sz w:val="24"/>
              </w:rPr>
            </w:pPr>
            <w:r>
              <w:rPr>
                <w:rFonts w:ascii="fang_song_gb2312" w:hAnsi="fang_song_gb2312" w:eastAsia="fang_song_gb2312" w:cs="fang_song_gb2312"/>
                <w:b w:val="false"/>
                <w:bCs w:val="false"/>
                <w:i w:val="false"/>
                <w:iCs w:val="false"/>
                <w:smallCaps w:val="false"/>
                <w:color w:val="000000"/>
                <w:kern w:val="0"/>
                <w:sz w:val="24"/>
              </w:rPr>
              <w:t>2</w:t>
            </w:r>
          </w:p>
        </w:tc>
        <w:tc>
          <w:tcPr>
            <w:tcW w:w="2306" w:type="pct"/>
            <w:tcBorders>
              <w:top w:val="inset" w:color="808080" w:sz="6" w:space="0"/>
              <w:left w:val="inset" w:color="808080" w:sz="6" w:space="0"/>
              <w:bottom w:val="inset" w:color="808080" w:sz="6" w:space="0"/>
              <w:right w:val="inset" w:color="808080" w:sz="6" w:space="0"/>
            </w:tcBorders>
            <w:noWrap w:val="false"/>
            <w:tcMar>
              <w:top w:w="22" w:type="dxa"/>
              <w:left w:w="22" w:type="dxa"/>
              <w:bottom w:w="22" w:type="dxa"/>
              <w:right w:w="22" w:type="dxa"/>
            </w:tcMar>
            <w:vAlign w:val="center"/>
            <w:hideMark/>
          </w:tcPr>
          <w:p>
            <w:pPr>
              <w:widowControl/>
              <w:jc w:val="left"/>
              <w:rPr>
                <w:rFonts w:ascii="Times New Roman" w:hAnsi="Times New Roman" w:eastAsia="Times New Roman" w:cs="Times New Roman"/>
                <w:b w:val="false"/>
                <w:bCs w:val="false"/>
                <w:i w:val="false"/>
                <w:iCs w:val="false"/>
                <w:smallCaps w:val="false"/>
                <w:color w:val="000000"/>
                <w:kern w:val="0"/>
                <w:sz w:val="24"/>
              </w:rPr>
            </w:pPr>
            <w:r>
              <w:rPr>
                <w:rFonts w:ascii="fang_song_gb2312" w:hAnsi="fang_song_gb2312" w:eastAsia="fang_song_gb2312" w:cs="fang_song_gb2312"/>
                <w:b w:val="false"/>
                <w:bCs w:val="false"/>
                <w:i w:val="false"/>
                <w:iCs w:val="false"/>
                <w:smallCaps w:val="false"/>
                <w:color w:val="000000"/>
                <w:kern w:val="0"/>
                <w:sz w:val="24"/>
              </w:rPr>
              <w:t>XX</w:t>
            </w:r>
          </w:p>
        </w:tc>
        <w:tc>
          <w:tcPr>
            <w:tcW w:w="2283" w:type="pct"/>
            <w:tcBorders>
              <w:top w:val="inset" w:color="808080" w:sz="6" w:space="0"/>
              <w:left w:val="inset" w:color="808080" w:sz="6" w:space="0"/>
              <w:bottom w:val="inset" w:color="808080" w:sz="6" w:space="0"/>
            </w:tcBorders>
            <w:noWrap w:val="false"/>
            <w:tcMar>
              <w:top w:w="22" w:type="dxa"/>
              <w:left w:w="22" w:type="dxa"/>
              <w:bottom w:w="22" w:type="dxa"/>
              <w:right w:w="22" w:type="dxa"/>
            </w:tcMar>
            <w:vAlign w:val="center"/>
            <w:hideMark/>
          </w:tcPr>
          <w:p>
            <w:pPr>
              <w:widowControl/>
              <w:jc w:val="left"/>
              <w:rPr>
                <w:rFonts w:ascii="Times New Roman" w:hAnsi="Times New Roman" w:eastAsia="Times New Roman" w:cs="Times New Roman"/>
                <w:b w:val="false"/>
                <w:bCs w:val="false"/>
                <w:i w:val="false"/>
                <w:iCs w:val="false"/>
                <w:smallCaps w:val="false"/>
                <w:color w:val="000000"/>
                <w:kern w:val="0"/>
                <w:sz w:val="24"/>
              </w:rPr>
            </w:pPr>
            <w:r>
              <w:rPr>
                <w:rFonts w:ascii="fang_song_gb2312" w:hAnsi="fang_song_gb2312" w:eastAsia="fang_song_gb2312" w:cs="fang_song_gb2312"/>
                <w:b w:val="false"/>
                <w:bCs w:val="false"/>
                <w:i w:val="false"/>
                <w:iCs w:val="false"/>
                <w:smallCaps w:val="false"/>
                <w:color w:val="000000"/>
                <w:kern w:val="0"/>
                <w:sz w:val="24"/>
              </w:rPr>
              <w:t>参照公务员法管理的事业单位</w:t>
            </w:r>
          </w:p>
        </w:tc>
      </w:tr>
      <w:tr>
        <w:tblPrEx>
          <w:tblW w:w="3516" w:type="pct"/>
          <w:jc w:val="center"/>
          <w:tblInd w:w="30" w:type="dxa"/>
          <w:tblCellMar>
            <w:top w:w="15" w:type="dxa"/>
            <w:left w:w="15" w:type="dxa"/>
            <w:bottom w:w="15" w:type="dxa"/>
            <w:right w:w="15" w:type="dxa"/>
          </w:tblCellMar>
        </w:tblPrEx>
        <w:trPr>
          <w:trHeight w:val="369"/>
          <w:jc w:val="center"/>
        </w:trPr>
        <w:tc>
          <w:tcPr>
            <w:tcW w:w="411" w:type="pct"/>
            <w:tcBorders>
              <w:top w:val="inset" w:color="808080" w:sz="6" w:space="0"/>
              <w:bottom w:val="inset" w:color="808080" w:sz="6" w:space="0"/>
              <w:right w:val="inset" w:color="808080" w:sz="6" w:space="0"/>
            </w:tcBorders>
            <w:noWrap w:val="false"/>
            <w:tcMar>
              <w:top w:w="22" w:type="dxa"/>
              <w:left w:w="22" w:type="dxa"/>
              <w:bottom w:w="22" w:type="dxa"/>
              <w:right w:w="22" w:type="dxa"/>
            </w:tcMar>
            <w:vAlign w:val="center"/>
            <w:hideMark/>
          </w:tcPr>
          <w:p>
            <w:pPr>
              <w:widowControl/>
              <w:jc w:val="center"/>
              <w:rPr>
                <w:rFonts w:ascii="Times New Roman" w:hAnsi="Times New Roman" w:eastAsia="Times New Roman" w:cs="Times New Roman"/>
                <w:b w:val="false"/>
                <w:bCs w:val="false"/>
                <w:i w:val="false"/>
                <w:iCs w:val="false"/>
                <w:smallCaps w:val="false"/>
                <w:color w:val="000000"/>
                <w:kern w:val="0"/>
                <w:sz w:val="24"/>
              </w:rPr>
            </w:pPr>
            <w:r>
              <w:rPr>
                <w:rFonts w:ascii="fang_song_gb2312" w:hAnsi="fang_song_gb2312" w:eastAsia="fang_song_gb2312" w:cs="fang_song_gb2312"/>
                <w:b w:val="false"/>
                <w:bCs w:val="false"/>
                <w:i w:val="false"/>
                <w:iCs w:val="false"/>
                <w:smallCaps w:val="false"/>
                <w:color w:val="000000"/>
                <w:kern w:val="0"/>
                <w:sz w:val="24"/>
              </w:rPr>
              <w:t>3</w:t>
            </w:r>
          </w:p>
        </w:tc>
        <w:tc>
          <w:tcPr>
            <w:tcW w:w="2306" w:type="pct"/>
            <w:tcBorders>
              <w:top w:val="inset" w:color="808080" w:sz="6" w:space="0"/>
              <w:left w:val="inset" w:color="808080" w:sz="6" w:space="0"/>
              <w:bottom w:val="inset" w:color="808080" w:sz="6" w:space="0"/>
              <w:right w:val="inset" w:color="808080" w:sz="6" w:space="0"/>
            </w:tcBorders>
            <w:noWrap w:val="false"/>
            <w:tcMar>
              <w:top w:w="22" w:type="dxa"/>
              <w:left w:w="22" w:type="dxa"/>
              <w:bottom w:w="22" w:type="dxa"/>
              <w:right w:w="22" w:type="dxa"/>
            </w:tcMar>
            <w:vAlign w:val="center"/>
            <w:hideMark/>
          </w:tcPr>
          <w:p>
            <w:pPr>
              <w:widowControl/>
              <w:jc w:val="left"/>
              <w:rPr>
                <w:rFonts w:ascii="Times New Roman" w:hAnsi="Times New Roman" w:eastAsia="Times New Roman" w:cs="Times New Roman"/>
                <w:b w:val="false"/>
                <w:bCs w:val="false"/>
                <w:i w:val="false"/>
                <w:iCs w:val="false"/>
                <w:smallCaps w:val="false"/>
                <w:color w:val="000000"/>
                <w:kern w:val="0"/>
                <w:sz w:val="24"/>
              </w:rPr>
            </w:pPr>
            <w:r>
              <w:rPr>
                <w:rFonts w:ascii="fang_song_gb2312" w:hAnsi="fang_song_gb2312" w:eastAsia="fang_song_gb2312" w:cs="fang_song_gb2312"/>
                <w:b w:val="false"/>
                <w:bCs w:val="false"/>
                <w:i w:val="false"/>
                <w:iCs w:val="false"/>
                <w:smallCaps w:val="false"/>
                <w:color w:val="000000"/>
                <w:kern w:val="0"/>
                <w:sz w:val="24"/>
              </w:rPr>
              <w:t>XX</w:t>
            </w:r>
          </w:p>
        </w:tc>
        <w:tc>
          <w:tcPr>
            <w:tcW w:w="2283" w:type="pct"/>
            <w:tcBorders>
              <w:top w:val="inset" w:color="808080" w:sz="6" w:space="0"/>
              <w:left w:val="inset" w:color="808080" w:sz="6" w:space="0"/>
              <w:bottom w:val="inset" w:color="808080" w:sz="6" w:space="0"/>
            </w:tcBorders>
            <w:noWrap w:val="false"/>
            <w:tcMar>
              <w:top w:w="22" w:type="dxa"/>
              <w:left w:w="22" w:type="dxa"/>
              <w:bottom w:w="22" w:type="dxa"/>
              <w:right w:w="22" w:type="dxa"/>
            </w:tcMar>
            <w:vAlign w:val="center"/>
            <w:hideMark/>
          </w:tcPr>
          <w:p>
            <w:pPr>
              <w:widowControl/>
              <w:jc w:val="left"/>
              <w:rPr>
                <w:rFonts w:ascii="Times New Roman" w:hAnsi="Times New Roman" w:eastAsia="Times New Roman" w:cs="Times New Roman"/>
                <w:b w:val="false"/>
                <w:bCs w:val="false"/>
                <w:i w:val="false"/>
                <w:iCs w:val="false"/>
                <w:smallCaps w:val="false"/>
                <w:color w:val="000000"/>
                <w:kern w:val="0"/>
                <w:sz w:val="24"/>
              </w:rPr>
            </w:pPr>
            <w:r>
              <w:rPr>
                <w:rFonts w:ascii="fang_song_gb2312" w:hAnsi="fang_song_gb2312" w:eastAsia="fang_song_gb2312" w:cs="fang_song_gb2312"/>
                <w:b w:val="false"/>
                <w:bCs w:val="false"/>
                <w:i w:val="false"/>
                <w:iCs w:val="false"/>
                <w:smallCaps w:val="false"/>
                <w:color w:val="000000"/>
                <w:kern w:val="0"/>
                <w:sz w:val="24"/>
              </w:rPr>
              <w:t>公益一类事业单位</w:t>
            </w:r>
          </w:p>
        </w:tc>
      </w:tr>
      <w:tr>
        <w:tblPrEx>
          <w:tblW w:w="3516" w:type="pct"/>
          <w:jc w:val="center"/>
          <w:tblInd w:w="30" w:type="dxa"/>
          <w:tblCellMar>
            <w:top w:w="15" w:type="dxa"/>
            <w:left w:w="15" w:type="dxa"/>
            <w:bottom w:w="15" w:type="dxa"/>
            <w:right w:w="15" w:type="dxa"/>
          </w:tblCellMar>
        </w:tblPrEx>
        <w:trPr>
          <w:trHeight w:val="369"/>
          <w:jc w:val="center"/>
        </w:trPr>
        <w:tc>
          <w:tcPr>
            <w:tcW w:w="411" w:type="pct"/>
            <w:tcBorders>
              <w:top w:val="inset" w:color="808080" w:sz="6" w:space="0"/>
              <w:right w:val="inset" w:color="808080" w:sz="6" w:space="0"/>
            </w:tcBorders>
            <w:noWrap w:val="false"/>
            <w:tcMar>
              <w:top w:w="22" w:type="dxa"/>
              <w:left w:w="22" w:type="dxa"/>
              <w:bottom w:w="22" w:type="dxa"/>
              <w:right w:w="22" w:type="dxa"/>
            </w:tcMar>
            <w:vAlign w:val="center"/>
            <w:hideMark/>
          </w:tcPr>
          <w:p>
            <w:pPr>
              <w:widowControl/>
              <w:jc w:val="center"/>
              <w:rPr>
                <w:rFonts w:ascii="Times New Roman" w:hAnsi="Times New Roman" w:eastAsia="Times New Roman" w:cs="Times New Roman"/>
                <w:b w:val="false"/>
                <w:bCs w:val="false"/>
                <w:i w:val="false"/>
                <w:iCs w:val="false"/>
                <w:smallCaps w:val="false"/>
                <w:color w:val="000000"/>
                <w:kern w:val="0"/>
                <w:sz w:val="24"/>
              </w:rPr>
            </w:pPr>
            <w:r>
              <w:rPr>
                <w:rFonts w:ascii="fang_song_gb2312" w:hAnsi="fang_song_gb2312" w:eastAsia="fang_song_gb2312" w:cs="fang_song_gb2312"/>
                <w:b w:val="false"/>
                <w:bCs w:val="false"/>
                <w:i w:val="false"/>
                <w:iCs w:val="false"/>
                <w:smallCaps w:val="false"/>
                <w:color w:val="000000"/>
                <w:kern w:val="0"/>
                <w:sz w:val="24"/>
              </w:rPr>
              <w:t>4</w:t>
            </w:r>
          </w:p>
        </w:tc>
        <w:tc>
          <w:tcPr>
            <w:tcW w:w="2306" w:type="pct"/>
            <w:tcBorders>
              <w:top w:val="inset" w:color="808080" w:sz="6" w:space="0"/>
              <w:left w:val="inset" w:color="808080" w:sz="6" w:space="0"/>
              <w:right w:val="inset" w:color="808080" w:sz="6" w:space="0"/>
            </w:tcBorders>
            <w:noWrap w:val="false"/>
            <w:tcMar>
              <w:top w:w="22" w:type="dxa"/>
              <w:left w:w="22" w:type="dxa"/>
              <w:bottom w:w="22" w:type="dxa"/>
              <w:right w:w="22" w:type="dxa"/>
            </w:tcMar>
            <w:vAlign w:val="center"/>
            <w:hideMark/>
          </w:tcPr>
          <w:p>
            <w:pPr>
              <w:widowControl/>
              <w:jc w:val="left"/>
              <w:rPr>
                <w:rFonts w:ascii="Times New Roman" w:hAnsi="Times New Roman" w:eastAsia="Times New Roman" w:cs="Times New Roman"/>
                <w:b w:val="false"/>
                <w:bCs w:val="false"/>
                <w:i w:val="false"/>
                <w:iCs w:val="false"/>
                <w:smallCaps w:val="false"/>
                <w:color w:val="000000"/>
                <w:kern w:val="0"/>
                <w:sz w:val="24"/>
              </w:rPr>
            </w:pPr>
            <w:r>
              <w:rPr>
                <w:rFonts w:ascii="fang_song_gb2312" w:hAnsi="fang_song_gb2312" w:eastAsia="fang_song_gb2312" w:cs="fang_song_gb2312"/>
                <w:b w:val="false"/>
                <w:bCs w:val="false"/>
                <w:i w:val="false"/>
                <w:iCs w:val="false"/>
                <w:smallCaps w:val="false"/>
                <w:color w:val="000000"/>
                <w:kern w:val="0"/>
                <w:sz w:val="24"/>
              </w:rPr>
              <w:t>XX</w:t>
            </w:r>
          </w:p>
        </w:tc>
        <w:tc>
          <w:tcPr>
            <w:tcW w:w="2283" w:type="pct"/>
            <w:tcBorders>
              <w:top w:val="inset" w:color="808080" w:sz="6" w:space="0"/>
              <w:left w:val="inset" w:color="808080" w:sz="6" w:space="0"/>
            </w:tcBorders>
            <w:noWrap w:val="false"/>
            <w:tcMar>
              <w:top w:w="22" w:type="dxa"/>
              <w:left w:w="22" w:type="dxa"/>
              <w:bottom w:w="22" w:type="dxa"/>
              <w:right w:w="22" w:type="dxa"/>
            </w:tcMar>
            <w:vAlign w:val="center"/>
            <w:hideMark/>
          </w:tcPr>
          <w:p>
            <w:pPr>
              <w:widowControl/>
              <w:jc w:val="left"/>
              <w:rPr>
                <w:rFonts w:ascii="Times New Roman" w:hAnsi="Times New Roman" w:eastAsia="Times New Roman" w:cs="Times New Roman"/>
                <w:b w:val="false"/>
                <w:bCs w:val="false"/>
                <w:i w:val="false"/>
                <w:iCs w:val="false"/>
                <w:smallCaps w:val="false"/>
                <w:color w:val="000000"/>
                <w:kern w:val="0"/>
                <w:sz w:val="24"/>
              </w:rPr>
            </w:pPr>
            <w:r>
              <w:rPr>
                <w:rFonts w:ascii="fang_song_gb2312" w:hAnsi="fang_song_gb2312" w:eastAsia="fang_song_gb2312" w:cs="fang_song_gb2312"/>
                <w:b w:val="false"/>
                <w:bCs w:val="false"/>
                <w:i w:val="false"/>
                <w:iCs w:val="false"/>
                <w:smallCaps w:val="false"/>
                <w:color w:val="000000"/>
                <w:kern w:val="0"/>
                <w:sz w:val="24"/>
              </w:rPr>
              <w:t>公益二类事业单位</w:t>
            </w:r>
          </w:p>
        </w:tc>
      </w:tr>
    </w:tbl>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（注：本部门（单位）决算编报单位情况需列表说明本年度纳入部门（单位）决算编报单位的名称。无下级预算单位的部门（单位），也需列表说明决算编报单位情况，否则视同未公开决算单位构成情况。）</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SimHei" w:hAnsi="SimHei" w:eastAsia="SimHei" w:cs="SimHei"/>
          <w:b/>
          <w:bCs/>
          <w:kern w:val="0"/>
          <w:sz w:val="27"/>
          <w:szCs w:val="27"/>
        </w:rPr>
        <w:t xml:space="preserve"> </w:t>
      </w:r>
      <w:r>
        <w:rPr>
          <w:rFonts w:ascii="Calibri" w:hAnsi="Calibri" w:eastAsia="Calibri" w:cs="Calibri"/>
          <w:b/>
          <w:bCs/>
          <w:kern w:val="0"/>
          <w:sz w:val="27"/>
          <w:szCs w:val="27"/>
        </w:rPr>
        <w:t> </w:t>
      </w:r>
      <w:r>
        <w:rPr>
          <w:rFonts w:ascii="SimHei" w:hAnsi="SimHei" w:eastAsia="SimHei" w:cs="SimHei"/>
          <w:b/>
          <w:bCs/>
          <w:kern w:val="0"/>
          <w:sz w:val="27"/>
          <w:szCs w:val="27"/>
        </w:rPr>
        <w:t xml:space="preserve"> 三、</w:t>
      </w:r>
      <w:r>
        <w:rPr>
          <w:rFonts w:ascii="SimHei" w:hAnsi="SimHei" w:eastAsia="SimHei" w:cs="SimHei"/>
          <w:b/>
          <w:bCs/>
          <w:kern w:val="0"/>
          <w:sz w:val="27"/>
          <w:szCs w:val="27"/>
        </w:rPr>
        <w:t>2023</w:t>
      </w:r>
      <w:r>
        <w:rPr>
          <w:rFonts w:ascii="SimHei" w:hAnsi="SimHei" w:eastAsia="SimHei" w:cs="SimHei"/>
          <w:b/>
          <w:bCs/>
          <w:kern w:val="0"/>
          <w:sz w:val="27"/>
          <w:szCs w:val="27"/>
        </w:rPr>
        <w:t>年度部门（单位）主要工作完成情况</w:t>
      </w: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（部门（单位）根据年度工作计划及完成情况进行表述）</w:t>
      </w:r>
    </w:p>
    <w:p>
      <w:pPr>
        <w:widowControl/>
        <w:spacing w:before="240" w:after="240"/>
        <w:jc w:val="left"/>
        <w:rPr>
          <w:rFonts w:ascii="Times New Roman" w:hAnsi="Times New Roman" w:eastAsia="Times New Roman" w:cs="Times New Roman"/>
          <w:kern w:val="0"/>
          <w:sz w:val="24"/>
        </w:rPr>
      </w:pPr>
    </w:p>
    <w:p>
      <w:pPr>
        <w:pStyle w:val="Heading2"/>
        <w:keepNext w:val="false"/>
        <w:keepLines w:val="false"/>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第二部分  部门（单位）决算情况说明</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SimHei" w:hAnsi="SimHei" w:eastAsia="SimHei" w:cs="SimHei"/>
          <w:b/>
          <w:bCs/>
          <w:kern w:val="0"/>
          <w:sz w:val="27"/>
          <w:szCs w:val="27"/>
        </w:rPr>
        <w:t xml:space="preserve"> </w:t>
      </w:r>
      <w:r>
        <w:rPr>
          <w:rFonts w:ascii="Calibri" w:hAnsi="Calibri" w:eastAsia="Calibri" w:cs="Calibri"/>
          <w:b/>
          <w:bCs/>
          <w:kern w:val="0"/>
          <w:sz w:val="27"/>
          <w:szCs w:val="27"/>
        </w:rPr>
        <w:t> </w:t>
      </w:r>
      <w:r>
        <w:rPr>
          <w:rFonts w:ascii="SimHei" w:hAnsi="SimHei" w:eastAsia="SimHei" w:cs="SimHei"/>
          <w:b/>
          <w:bCs/>
          <w:kern w:val="0"/>
          <w:sz w:val="27"/>
          <w:szCs w:val="27"/>
        </w:rPr>
        <w:t xml:space="preserve"> 一、收入支出决算总体情况说明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（依据“公开</w:t>
      </w:r>
      <w:r>
        <w:rPr>
          <w:rFonts w:ascii="times_new_roman" w:hAnsi="times_new_roman" w:eastAsia="times_new_roman" w:cs="times_new_roman"/>
          <w:color w:val="0E00FE"/>
          <w:kern w:val="0"/>
          <w:sz w:val="27"/>
          <w:szCs w:val="27"/>
        </w:rPr>
        <w:t>01</w:t>
      </w:r>
      <w:r>
        <w:rPr>
          <w:rFonts w:ascii="fang_song_gb2312" w:hAnsi="fang_song_gb2312" w:eastAsia="fang_song_gb2312" w:cs="fang_song_gb2312"/>
          <w:color w:val="0E00FE"/>
          <w:kern w:val="0"/>
          <w:sz w:val="27"/>
          <w:szCs w:val="27"/>
        </w:rPr>
        <w:t>表收支总表”中金额填列）</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内蒙古自治区通辽市科学技术协会（部门）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年度收入、支出决算总计</w:t>
      </w:r>
      <w:r>
        <w:rPr>
          <w:rFonts w:ascii="times_new_roman" w:hAnsi="times_new_roman" w:eastAsia="times_new_roman" w:cs="times_new_roman"/>
          <w:kern w:val="0"/>
          <w:sz w:val="27"/>
          <w:szCs w:val="27"/>
          <w:u w:val="single"/>
        </w:rPr>
        <w:t xml:space="preserve"> 1,397.49</w:t>
      </w:r>
      <w:r>
        <w:rPr>
          <w:rFonts w:ascii="fang_song_gb2312" w:hAnsi="fang_song_gb2312" w:eastAsia="fang_song_gb2312" w:cs="fang_song_gb2312"/>
          <w:kern w:val="0"/>
          <w:sz w:val="27"/>
          <w:szCs w:val="27"/>
        </w:rPr>
        <w:t>万元。与年初预算相比，收、支总计各增加（减少）</w:t>
      </w:r>
      <w:r>
        <w:rPr>
          <w:rFonts w:ascii="times_new_roman" w:hAnsi="times_new_roman" w:eastAsia="times_new_roman" w:cs="times_new_roman"/>
          <w:kern w:val="0"/>
          <w:sz w:val="27"/>
          <w:szCs w:val="27"/>
          <w:u w:val="single"/>
        </w:rPr>
        <w:t xml:space="preserve"> 585.94</w:t>
      </w:r>
      <w:r>
        <w:rPr>
          <w:rFonts w:ascii="fang_song_gb2312" w:hAnsi="fang_song_gb2312" w:eastAsia="fang_song_gb2312" w:cs="fang_song_gb2312"/>
          <w:kern w:val="0"/>
          <w:sz w:val="27"/>
          <w:szCs w:val="27"/>
        </w:rPr>
        <w:t>万元，增长（减少）</w:t>
      </w:r>
      <w:r>
        <w:rPr>
          <w:rFonts w:ascii="times_new_roman" w:hAnsi="times_new_roman" w:eastAsia="times_new_roman" w:cs="times_new_roman"/>
          <w:kern w:val="0"/>
          <w:sz w:val="27"/>
          <w:szCs w:val="27"/>
          <w:u w:val="single"/>
        </w:rPr>
        <w:t xml:space="preserve"> 72.20</w:t>
      </w:r>
      <w:r>
        <w:rPr>
          <w:rFonts w:ascii="fang_song_gb2312" w:hAnsi="fang_song_gb2312" w:eastAsia="fang_song_gb2312" w:cs="fang_song_gb2312"/>
          <w:kern w:val="0"/>
          <w:sz w:val="27"/>
          <w:szCs w:val="27"/>
        </w:rPr>
        <w:t>%，变动原因：……；与上年决算相比，收、支总计各增加（减少</w:t>
      </w:r>
      <w:r>
        <w:rPr>
          <w:rFonts w:ascii="times_new_roman" w:hAnsi="times_new_roman" w:eastAsia="times_new_roman" w:cs="times_new_roman"/>
          <w:kern w:val="0"/>
          <w:sz w:val="27"/>
          <w:szCs w:val="27"/>
        </w:rPr>
        <w:t>）</w:t>
      </w:r>
      <w:r>
        <w:rPr>
          <w:rFonts w:ascii="times_new_roman" w:hAnsi="times_new_roman" w:eastAsia="times_new_roman" w:cs="times_new_roman"/>
          <w:kern w:val="0"/>
          <w:sz w:val="27"/>
          <w:szCs w:val="27"/>
          <w:u w:val="single"/>
        </w:rPr>
        <w:t xml:space="preserve"> -286.07</w:t>
      </w:r>
      <w:r>
        <w:rPr>
          <w:rFonts w:ascii="fang_song_gb2312" w:hAnsi="fang_song_gb2312" w:eastAsia="fang_song_gb2312" w:cs="fang_song_gb2312"/>
          <w:kern w:val="0"/>
          <w:sz w:val="27"/>
          <w:szCs w:val="27"/>
        </w:rPr>
        <w:t>万元，增长（减少）</w:t>
      </w:r>
      <w:r>
        <w:rPr>
          <w:rFonts w:ascii="times_new_roman" w:hAnsi="times_new_roman" w:eastAsia="times_new_roman" w:cs="times_new_roman"/>
          <w:kern w:val="0"/>
          <w:sz w:val="27"/>
          <w:szCs w:val="27"/>
          <w:u w:val="single"/>
        </w:rPr>
        <w:t xml:space="preserve"> -16.99</w:t>
      </w:r>
      <w:r>
        <w:rPr>
          <w:rFonts w:ascii="fang_song_gb2312" w:hAnsi="fang_song_gb2312" w:eastAsia="fang_song_gb2312" w:cs="fang_song_gb2312"/>
          <w:kern w:val="0"/>
          <w:sz w:val="27"/>
          <w:szCs w:val="27"/>
        </w:rPr>
        <w:t>%。其中：</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（一）收入决算总计</w:t>
      </w:r>
      <w:r>
        <w:rPr>
          <w:rFonts w:ascii="times_new_roman" w:hAnsi="times_new_roman" w:eastAsia="times_new_roman" w:cs="times_new_roman"/>
          <w:b/>
          <w:bCs/>
          <w:kern w:val="0"/>
          <w:sz w:val="27"/>
          <w:szCs w:val="27"/>
          <w:u w:val="single"/>
        </w:rPr>
        <w:t xml:space="preserve"> 1,397.49</w:t>
      </w:r>
      <w:r>
        <w:rPr>
          <w:rFonts w:ascii="kai_ti_gb2312" w:hAnsi="kai_ti_gb2312" w:eastAsia="kai_ti_gb2312" w:cs="kai_ti_gb2312"/>
          <w:b/>
          <w:bCs/>
          <w:kern w:val="0"/>
          <w:sz w:val="27"/>
          <w:szCs w:val="27"/>
        </w:rPr>
        <w:t>万元。包括：</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1.本年收入决算合计</w:t>
      </w:r>
      <w:r>
        <w:rPr>
          <w:rFonts w:ascii="times_new_roman" w:hAnsi="times_new_roman" w:eastAsia="times_new_roman" w:cs="times_new_roman"/>
          <w:kern w:val="0"/>
          <w:sz w:val="27"/>
          <w:szCs w:val="27"/>
          <w:u w:val="single"/>
        </w:rPr>
        <w:t xml:space="preserve"> 1,377.49</w:t>
      </w:r>
      <w:r>
        <w:rPr>
          <w:rFonts w:ascii="fang_song_gb2312" w:hAnsi="fang_song_gb2312" w:eastAsia="fang_song_gb2312" w:cs="fang_song_gb2312"/>
          <w:kern w:val="0"/>
          <w:sz w:val="27"/>
          <w:szCs w:val="27"/>
        </w:rPr>
        <w:t>万元。与上年决算相比，增加（减少）</w:t>
      </w:r>
      <w:r>
        <w:rPr>
          <w:rFonts w:ascii="times_new_roman" w:hAnsi="times_new_roman" w:eastAsia="times_new_roman" w:cs="times_new_roman"/>
          <w:kern w:val="0"/>
          <w:sz w:val="27"/>
          <w:szCs w:val="27"/>
          <w:u w:val="single"/>
        </w:rPr>
        <w:t xml:space="preserve"> -303.07</w:t>
      </w:r>
      <w:r>
        <w:rPr>
          <w:rFonts w:ascii="fang_song_gb2312" w:hAnsi="fang_song_gb2312" w:eastAsia="fang_song_gb2312" w:cs="fang_song_gb2312"/>
          <w:kern w:val="0"/>
          <w:sz w:val="27"/>
          <w:szCs w:val="27"/>
        </w:rPr>
        <w:t xml:space="preserve">万元，增长（减少） </w:t>
      </w:r>
      <w:r>
        <w:rPr>
          <w:rFonts w:ascii="times_new_roman" w:hAnsi="times_new_roman" w:eastAsia="times_new_roman" w:cs="times_new_roman"/>
          <w:kern w:val="0"/>
          <w:sz w:val="27"/>
          <w:szCs w:val="27"/>
          <w:u w:val="single"/>
        </w:rPr>
        <w:t>-18.03</w:t>
      </w:r>
      <w:r>
        <w:rPr>
          <w:rFonts w:ascii="fang_song_gb2312" w:hAnsi="fang_song_gb2312" w:eastAsia="fang_song_gb2312" w:cs="fang_song_gb2312"/>
          <w:kern w:val="0"/>
          <w:sz w:val="27"/>
          <w:szCs w:val="27"/>
        </w:rPr>
        <w:t>%，变动原因：……。</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2.使用非财政拨款结余和专用结余</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万元。与上年决算相比，增加（减少）</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万元，增长（减少）</w:t>
      </w:r>
      <w:r>
        <w:rPr>
          <w:rFonts w:ascii="times_new_roman" w:hAnsi="times_new_roman" w:eastAsia="times_new_roman" w:cs="times_new_roman"/>
          <w:kern w:val="0"/>
          <w:sz w:val="27"/>
          <w:szCs w:val="27"/>
          <w:u w:val="single"/>
        </w:rPr>
        <w:t xml:space="preserve"> NaN</w:t>
      </w:r>
      <w:r>
        <w:rPr>
          <w:rFonts w:ascii="fang_song_gb2312" w:hAnsi="fang_song_gb2312" w:eastAsia="fang_song_gb2312" w:cs="fang_song_gb2312"/>
          <w:kern w:val="0"/>
          <w:sz w:val="27"/>
          <w:szCs w:val="27"/>
        </w:rPr>
        <w:t>%，变动原因：……。</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3.年初结转和结余 </w:t>
      </w:r>
      <w:r>
        <w:rPr>
          <w:rFonts w:ascii="times_new_roman" w:hAnsi="times_new_roman" w:eastAsia="times_new_roman" w:cs="times_new_roman"/>
          <w:kern w:val="0"/>
          <w:sz w:val="27"/>
          <w:szCs w:val="27"/>
          <w:u w:val="single"/>
        </w:rPr>
        <w:t>20.00</w:t>
      </w:r>
      <w:r>
        <w:rPr>
          <w:rFonts w:ascii="fang_song_gb2312" w:hAnsi="fang_song_gb2312" w:eastAsia="fang_song_gb2312" w:cs="fang_song_gb2312"/>
          <w:kern w:val="0"/>
          <w:sz w:val="27"/>
          <w:szCs w:val="27"/>
        </w:rPr>
        <w:t>万元。与上年决算相比，增加（减少）</w:t>
      </w:r>
      <w:r>
        <w:rPr>
          <w:rFonts w:ascii="times_new_roman" w:hAnsi="times_new_roman" w:eastAsia="times_new_roman" w:cs="times_new_roman"/>
          <w:kern w:val="0"/>
          <w:sz w:val="27"/>
          <w:szCs w:val="27"/>
          <w:u w:val="single"/>
        </w:rPr>
        <w:t xml:space="preserve"> 17.00</w:t>
      </w:r>
      <w:r>
        <w:rPr>
          <w:rFonts w:ascii="fang_song_gb2312" w:hAnsi="fang_song_gb2312" w:eastAsia="fang_song_gb2312" w:cs="fang_song_gb2312"/>
          <w:kern w:val="0"/>
          <w:sz w:val="27"/>
          <w:szCs w:val="27"/>
        </w:rPr>
        <w:t>万元，增长（减少）</w:t>
      </w:r>
      <w:r>
        <w:rPr>
          <w:rFonts w:ascii="times_new_roman" w:hAnsi="times_new_roman" w:eastAsia="times_new_roman" w:cs="times_new_roman"/>
          <w:kern w:val="0"/>
          <w:sz w:val="27"/>
          <w:szCs w:val="27"/>
          <w:u w:val="single"/>
        </w:rPr>
        <w:t xml:space="preserve"> 566.67</w:t>
      </w:r>
      <w:r>
        <w:rPr>
          <w:rFonts w:ascii="fang_song_gb2312" w:hAnsi="fang_song_gb2312" w:eastAsia="fang_song_gb2312" w:cs="fang_song_gb2312"/>
          <w:kern w:val="0"/>
          <w:sz w:val="27"/>
          <w:szCs w:val="27"/>
        </w:rPr>
        <w:t>%，变动原因：……。</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（二）支出决算总计</w:t>
      </w:r>
      <w:r>
        <w:rPr>
          <w:rFonts w:ascii="times_new_roman" w:hAnsi="times_new_roman" w:eastAsia="times_new_roman" w:cs="times_new_roman"/>
          <w:b/>
          <w:bCs/>
          <w:kern w:val="0"/>
          <w:sz w:val="27"/>
          <w:szCs w:val="27"/>
          <w:u w:val="single"/>
        </w:rPr>
        <w:t xml:space="preserve"> 1,397.49</w:t>
      </w:r>
      <w:r>
        <w:rPr>
          <w:rFonts w:ascii="kai_ti_gb2312" w:hAnsi="kai_ti_gb2312" w:eastAsia="kai_ti_gb2312" w:cs="kai_ti_gb2312"/>
          <w:b/>
          <w:bCs/>
          <w:kern w:val="0"/>
          <w:sz w:val="27"/>
          <w:szCs w:val="27"/>
        </w:rPr>
        <w:t>万元。包括：</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1.本年支出决算合计</w:t>
      </w:r>
      <w:r>
        <w:rPr>
          <w:rFonts w:ascii="times_new_roman" w:hAnsi="times_new_roman" w:eastAsia="times_new_roman" w:cs="times_new_roman"/>
          <w:kern w:val="0"/>
          <w:sz w:val="27"/>
          <w:szCs w:val="27"/>
          <w:u w:val="single"/>
        </w:rPr>
        <w:t xml:space="preserve"> 1,374.91</w:t>
      </w:r>
      <w:r>
        <w:rPr>
          <w:rFonts w:ascii="fang_song_gb2312" w:hAnsi="fang_song_gb2312" w:eastAsia="fang_song_gb2312" w:cs="fang_song_gb2312"/>
          <w:kern w:val="0"/>
          <w:sz w:val="27"/>
          <w:szCs w:val="27"/>
        </w:rPr>
        <w:t>万元。与上年决算相比，增加（减少）</w:t>
      </w:r>
      <w:r>
        <w:rPr>
          <w:rFonts w:ascii="times_new_roman" w:hAnsi="times_new_roman" w:eastAsia="times_new_roman" w:cs="times_new_roman"/>
          <w:kern w:val="0"/>
          <w:sz w:val="27"/>
          <w:szCs w:val="27"/>
          <w:u w:val="single"/>
        </w:rPr>
        <w:t xml:space="preserve"> -288.65</w:t>
      </w:r>
      <w:r>
        <w:rPr>
          <w:rFonts w:ascii="fang_song_gb2312" w:hAnsi="fang_song_gb2312" w:eastAsia="fang_song_gb2312" w:cs="fang_song_gb2312"/>
          <w:kern w:val="0"/>
          <w:sz w:val="27"/>
          <w:szCs w:val="27"/>
        </w:rPr>
        <w:t>万元，增长（减少）</w:t>
      </w:r>
      <w:r>
        <w:rPr>
          <w:rFonts w:ascii="times_new_roman" w:hAnsi="times_new_roman" w:eastAsia="times_new_roman" w:cs="times_new_roman"/>
          <w:kern w:val="0"/>
          <w:sz w:val="27"/>
          <w:szCs w:val="27"/>
          <w:u w:val="single"/>
        </w:rPr>
        <w:t xml:space="preserve"> -17.35</w:t>
      </w:r>
      <w:r>
        <w:rPr>
          <w:rFonts w:ascii="fang_song_gb2312" w:hAnsi="fang_song_gb2312" w:eastAsia="fang_song_gb2312" w:cs="fang_song_gb2312"/>
          <w:kern w:val="0"/>
          <w:sz w:val="27"/>
          <w:szCs w:val="27"/>
        </w:rPr>
        <w:t>%，变动原因：……。</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2.结余分配</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万元。结余分配事项：……。与上年决算相比，增加（减少）</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万元，增长（减少）</w:t>
      </w:r>
      <w:r>
        <w:rPr>
          <w:rFonts w:ascii="times_new_roman" w:hAnsi="times_new_roman" w:eastAsia="times_new_roman" w:cs="times_new_roman"/>
          <w:kern w:val="0"/>
          <w:sz w:val="27"/>
          <w:szCs w:val="27"/>
          <w:u w:val="single"/>
        </w:rPr>
        <w:t xml:space="preserve"> NaN</w:t>
      </w:r>
      <w:r>
        <w:rPr>
          <w:rFonts w:ascii="fang_song_gb2312" w:hAnsi="fang_song_gb2312" w:eastAsia="fang_song_gb2312" w:cs="fang_song_gb2312"/>
          <w:kern w:val="0"/>
          <w:sz w:val="27"/>
          <w:szCs w:val="27"/>
        </w:rPr>
        <w:t>%，变动原因：……。</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3.年末结转和结余</w:t>
      </w:r>
      <w:r>
        <w:rPr>
          <w:rFonts w:ascii="times_new_roman" w:hAnsi="times_new_roman" w:eastAsia="times_new_roman" w:cs="times_new_roman"/>
          <w:kern w:val="0"/>
          <w:sz w:val="27"/>
          <w:szCs w:val="27"/>
          <w:u w:val="single"/>
        </w:rPr>
        <w:t xml:space="preserve"> 22.58</w:t>
      </w:r>
      <w:r>
        <w:rPr>
          <w:rFonts w:ascii="fang_song_gb2312" w:hAnsi="fang_song_gb2312" w:eastAsia="fang_song_gb2312" w:cs="fang_song_gb2312"/>
          <w:kern w:val="0"/>
          <w:sz w:val="27"/>
          <w:szCs w:val="27"/>
        </w:rPr>
        <w:t>万元。结转和结余事项：……。与上年决算相比，增加（减少）</w:t>
      </w:r>
      <w:r>
        <w:rPr>
          <w:rFonts w:ascii="times_new_roman" w:hAnsi="times_new_roman" w:eastAsia="times_new_roman" w:cs="times_new_roman"/>
          <w:kern w:val="0"/>
          <w:sz w:val="27"/>
          <w:szCs w:val="27"/>
          <w:u w:val="single"/>
        </w:rPr>
        <w:t xml:space="preserve"> 2.58</w:t>
      </w:r>
      <w:r>
        <w:rPr>
          <w:rFonts w:ascii="fang_song_gb2312" w:hAnsi="fang_song_gb2312" w:eastAsia="fang_song_gb2312" w:cs="fang_song_gb2312"/>
          <w:kern w:val="0"/>
          <w:sz w:val="27"/>
          <w:szCs w:val="27"/>
        </w:rPr>
        <w:t>万元，增长（减少）</w:t>
      </w:r>
      <w:r>
        <w:rPr>
          <w:rFonts w:ascii="times_new_roman" w:hAnsi="times_new_roman" w:eastAsia="times_new_roman" w:cs="times_new_roman"/>
          <w:kern w:val="0"/>
          <w:sz w:val="27"/>
          <w:szCs w:val="27"/>
          <w:u w:val="single"/>
        </w:rPr>
        <w:t xml:space="preserve"> 12.88</w:t>
      </w:r>
      <w:r>
        <w:rPr>
          <w:rFonts w:ascii="fang_song_gb2312" w:hAnsi="fang_song_gb2312" w:eastAsia="fang_song_gb2312" w:cs="fang_song_gb2312"/>
          <w:kern w:val="0"/>
          <w:sz w:val="27"/>
          <w:szCs w:val="27"/>
        </w:rPr>
        <w:t>%，变动原因：……。</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（该段内容根据部门（单位）实际情况，必须与上年进行比较并说明原因。为零项不得删除，主要原因说明为不存在此项内容。）</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SimHei" w:hAnsi="SimHei" w:eastAsia="SimHei" w:cs="SimHei"/>
          <w:b/>
          <w:bCs/>
          <w:kern w:val="0"/>
          <w:sz w:val="27"/>
          <w:szCs w:val="27"/>
        </w:rPr>
        <w:t xml:space="preserve"> </w:t>
      </w:r>
      <w:r>
        <w:rPr>
          <w:rFonts w:ascii="Calibri" w:hAnsi="Calibri" w:eastAsia="Calibri" w:cs="Calibri"/>
          <w:b/>
          <w:bCs/>
          <w:kern w:val="0"/>
          <w:sz w:val="27"/>
          <w:szCs w:val="27"/>
        </w:rPr>
        <w:t> </w:t>
      </w:r>
      <w:r>
        <w:rPr>
          <w:rFonts w:ascii="SimHei" w:hAnsi="SimHei" w:eastAsia="SimHei" w:cs="SimHei"/>
          <w:b/>
          <w:bCs/>
          <w:kern w:val="0"/>
          <w:sz w:val="27"/>
          <w:szCs w:val="27"/>
        </w:rPr>
        <w:t xml:space="preserve"> 二、收入决算情况说明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（反映部门（单位）年度总体收入决算情况）</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内蒙古自治区通辽市科学技术协会（部门）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年度本年收入决算合计</w:t>
      </w:r>
      <w:r>
        <w:rPr>
          <w:rFonts w:ascii="times_new_roman" w:hAnsi="times_new_roman" w:eastAsia="times_new_roman" w:cs="times_new_roman"/>
          <w:kern w:val="0"/>
          <w:sz w:val="27"/>
          <w:szCs w:val="27"/>
          <w:u w:val="single"/>
        </w:rPr>
        <w:t xml:space="preserve"> 1,377.49</w:t>
      </w:r>
      <w:r>
        <w:rPr>
          <w:rFonts w:ascii="fang_song_gb2312" w:hAnsi="fang_song_gb2312" w:eastAsia="fang_song_gb2312" w:cs="fang_song_gb2312"/>
          <w:kern w:val="0"/>
          <w:sz w:val="27"/>
          <w:szCs w:val="27"/>
        </w:rPr>
        <w:t>万元，其中：</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本年一般公共预算财政拨款收入</w:t>
      </w:r>
      <w:r>
        <w:rPr>
          <w:rFonts w:ascii="times_new_roman" w:hAnsi="times_new_roman" w:eastAsia="times_new_roman" w:cs="times_new_roman"/>
          <w:kern w:val="0"/>
          <w:sz w:val="27"/>
          <w:szCs w:val="27"/>
          <w:u w:val="single"/>
        </w:rPr>
        <w:t xml:space="preserve"> 1,369.36</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99.41</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本年政府性基金预算财政拨款收入</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本年国有资本经营预算财政拨款收入</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本年上级补助收入</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本年事业收入</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本年经营收入</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本年附属单位上缴收入</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本年其他收入</w:t>
      </w:r>
      <w:r>
        <w:rPr>
          <w:rFonts w:ascii="times_new_roman" w:hAnsi="times_new_roman" w:eastAsia="times_new_roman" w:cs="times_new_roman"/>
          <w:kern w:val="0"/>
          <w:sz w:val="27"/>
          <w:szCs w:val="27"/>
          <w:u w:val="single"/>
        </w:rPr>
        <w:t xml:space="preserve"> 8.13</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0.59</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（按照“公开</w:t>
      </w:r>
      <w:r>
        <w:rPr>
          <w:rFonts w:ascii="times_new_roman" w:hAnsi="times_new_roman" w:eastAsia="times_new_roman" w:cs="times_new_roman"/>
          <w:color w:val="0E00FE"/>
          <w:kern w:val="0"/>
          <w:sz w:val="27"/>
          <w:szCs w:val="27"/>
        </w:rPr>
        <w:t>02</w:t>
      </w:r>
      <w:r>
        <w:rPr>
          <w:rFonts w:ascii="fang_song_gb2312" w:hAnsi="fang_song_gb2312" w:eastAsia="fang_song_gb2312" w:cs="fang_song_gb2312"/>
          <w:color w:val="0E00FE"/>
          <w:kern w:val="0"/>
          <w:sz w:val="27"/>
          <w:szCs w:val="27"/>
        </w:rPr>
        <w:t>表收入支出决算总表”分析填列，收入分项金额总计应等于合计金额，占比合计</w:t>
      </w:r>
      <w:r>
        <w:rPr>
          <w:rFonts w:ascii="times_new_roman" w:hAnsi="times_new_roman" w:eastAsia="times_new_roman" w:cs="times_new_roman"/>
          <w:color w:val="0E00FE"/>
          <w:kern w:val="0"/>
          <w:sz w:val="27"/>
          <w:szCs w:val="27"/>
        </w:rPr>
        <w:t>100%</w:t>
      </w:r>
      <w:r>
        <w:rPr>
          <w:rFonts w:ascii="fang_song_gb2312" w:hAnsi="fang_song_gb2312" w:eastAsia="fang_song_gb2312" w:cs="fang_song_gb2312"/>
          <w:color w:val="0E00FE"/>
          <w:kern w:val="0"/>
          <w:sz w:val="27"/>
          <w:szCs w:val="27"/>
        </w:rPr>
        <w:t>，</w:t>
      </w:r>
      <w:r>
        <w:rPr>
          <w:rFonts w:ascii="fang_song_gb2312" w:hAnsi="fang_song_gb2312" w:eastAsia="fang_song_gb2312" w:cs="fang_song_gb2312"/>
          <w:kern w:val="0"/>
          <w:sz w:val="27"/>
          <w:szCs w:val="27"/>
        </w:rPr>
        <w:t>为零项不得删除。</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center"/>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图</w:t>
      </w:r>
      <w:r>
        <w:rPr>
          <w:rFonts w:ascii="times_new_roman" w:hAnsi="times_new_roman" w:eastAsia="times_new_roman" w:cs="times_new_roman"/>
          <w:kern w:val="0"/>
          <w:sz w:val="27"/>
          <w:szCs w:val="27"/>
        </w:rPr>
        <w:t>1</w:t>
      </w:r>
      <w:r>
        <w:rPr>
          <w:rFonts w:ascii="fang_song_gb2312" w:hAnsi="fang_song_gb2312" w:eastAsia="fang_song_gb2312" w:cs="fang_song_gb2312"/>
          <w:kern w:val="0"/>
          <w:sz w:val="27"/>
          <w:szCs w:val="27"/>
        </w:rPr>
        <w:t>.收入决算图</w:t>
      </w:r>
      <w:r>
        <w:rPr>
          <w:rFonts w:ascii="fang_song_gb2312" w:hAnsi="fang_song_gb2312" w:eastAsia="fang_song_gb2312" w:cs="fang_song_gb2312"/>
          <w:color w:val="0E00FE"/>
          <w:kern w:val="0"/>
          <w:sz w:val="27"/>
          <w:szCs w:val="27"/>
        </w:rPr>
        <w:t>（以饼图列示）</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SimHei" w:hAnsi="SimHei" w:eastAsia="SimHei" w:cs="SimHei"/>
          <w:b/>
          <w:bCs/>
          <w:kern w:val="0"/>
          <w:sz w:val="27"/>
          <w:szCs w:val="27"/>
        </w:rPr>
        <w:t xml:space="preserve"> </w:t>
      </w:r>
      <w:r>
        <w:rPr>
          <w:rFonts w:ascii="Calibri" w:hAnsi="Calibri" w:eastAsia="Calibri" w:cs="Calibri"/>
          <w:b/>
          <w:bCs/>
          <w:kern w:val="0"/>
          <w:sz w:val="27"/>
          <w:szCs w:val="27"/>
        </w:rPr>
        <w:t> </w:t>
      </w:r>
      <w:r>
        <w:rPr>
          <w:rFonts w:ascii="SimHei" w:hAnsi="SimHei" w:eastAsia="SimHei" w:cs="SimHei"/>
          <w:b/>
          <w:bCs/>
          <w:kern w:val="0"/>
          <w:sz w:val="27"/>
          <w:szCs w:val="27"/>
        </w:rPr>
        <w:t xml:space="preserve"> 三、支出决算情况说明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（反映部门（单位）年度总体支出决算情况）</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内蒙古自治区通辽市科学技术协会（部门） 2023年度本年支出决算合计</w:t>
      </w:r>
      <w:r>
        <w:rPr>
          <w:rFonts w:ascii="times_new_roman" w:hAnsi="times_new_roman" w:eastAsia="times_new_roman" w:cs="times_new_roman"/>
          <w:kern w:val="0"/>
          <w:sz w:val="27"/>
          <w:szCs w:val="27"/>
          <w:u w:val="single"/>
        </w:rPr>
        <w:t xml:space="preserve"> 1,374.91</w:t>
      </w:r>
      <w:r>
        <w:rPr>
          <w:rFonts w:ascii="fang_song_gb2312" w:hAnsi="fang_song_gb2312" w:eastAsia="fang_song_gb2312" w:cs="fang_song_gb2312"/>
          <w:kern w:val="0"/>
          <w:sz w:val="27"/>
          <w:szCs w:val="27"/>
        </w:rPr>
        <w:t>万元，其中：</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本年基本支出</w:t>
      </w:r>
      <w:r>
        <w:rPr>
          <w:rFonts w:ascii="times_new_roman" w:hAnsi="times_new_roman" w:eastAsia="times_new_roman" w:cs="times_new_roman"/>
          <w:kern w:val="0"/>
          <w:sz w:val="27"/>
          <w:szCs w:val="27"/>
          <w:u w:val="single"/>
        </w:rPr>
        <w:t xml:space="preserve"> 630.27</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45.84</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本年项目支出</w:t>
      </w:r>
      <w:r>
        <w:rPr>
          <w:rFonts w:ascii="times_new_roman" w:hAnsi="times_new_roman" w:eastAsia="times_new_roman" w:cs="times_new_roman"/>
          <w:kern w:val="0"/>
          <w:sz w:val="27"/>
          <w:szCs w:val="27"/>
          <w:u w:val="single"/>
        </w:rPr>
        <w:t xml:space="preserve"> 744.64</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54.16</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本年上缴上级支出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本年经营支出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本年对附属单位补助支出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（按照“公开03表支出决算表”分析填列，支出分项金额总计等于合计金额，占比合计</w:t>
      </w:r>
      <w:r>
        <w:rPr>
          <w:rFonts w:ascii="times_new_roman" w:hAnsi="times_new_roman" w:eastAsia="times_new_roman" w:cs="times_new_roman"/>
          <w:color w:val="0E00FE"/>
          <w:kern w:val="0"/>
          <w:sz w:val="27"/>
          <w:szCs w:val="27"/>
        </w:rPr>
        <w:t>100</w:t>
      </w:r>
      <w:r>
        <w:rPr>
          <w:rFonts w:ascii="fang_song_gb2312" w:hAnsi="fang_song_gb2312" w:eastAsia="fang_song_gb2312" w:cs="fang_song_gb2312"/>
          <w:color w:val="0E00FE"/>
          <w:kern w:val="0"/>
          <w:sz w:val="27"/>
          <w:szCs w:val="27"/>
        </w:rPr>
        <w:t>%，</w:t>
      </w:r>
      <w:r>
        <w:rPr>
          <w:rFonts w:ascii="fang_song_gb2312" w:hAnsi="fang_song_gb2312" w:eastAsia="fang_song_gb2312" w:cs="fang_song_gb2312"/>
          <w:kern w:val="0"/>
          <w:sz w:val="27"/>
          <w:szCs w:val="27"/>
        </w:rPr>
        <w:t>为零项不得删除。</w:t>
      </w:r>
      <w:r>
        <w:rPr>
          <w:rFonts w:ascii="fang_song_gb2312" w:hAnsi="fang_song_gb2312" w:eastAsia="fang_song_gb2312" w:cs="fang_song_gb2312"/>
          <w:kern w:val="0"/>
          <w:sz w:val="27"/>
          <w:szCs w:val="27"/>
        </w:rPr>
        <w:t>）</w:t>
      </w:r>
    </w:p>
    <w:p>
      <w:pPr>
        <w:widowControl/>
        <w:spacing w:before="240" w:after="240"/>
        <w:jc w:val="left"/>
        <w:rPr>
          <w:rFonts w:ascii="Times New Roman" w:hAnsi="Times New Roman" w:eastAsia="Times New Roman" w:cs="Times New Roman"/>
          <w:kern w:val="0"/>
          <w:sz w:val="24"/>
        </w:rPr>
      </w:pPr>
    </w:p>
    <w:p>
      <w:pPr>
        <w:widowControl/>
        <w:spacing w:before="240" w:after="240"/>
        <w:jc w:val="center"/>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图2.支出决算图</w:t>
      </w:r>
      <w:r>
        <w:rPr>
          <w:rFonts w:ascii="fang_song_gb2312" w:hAnsi="fang_song_gb2312" w:eastAsia="fang_song_gb2312" w:cs="fang_song_gb2312"/>
          <w:color w:val="0E00FE"/>
          <w:kern w:val="0"/>
          <w:sz w:val="27"/>
          <w:szCs w:val="27"/>
        </w:rPr>
        <w:t>（以饼图列示）</w:t>
      </w: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SimHei" w:hAnsi="SimHei" w:eastAsia="SimHei" w:cs="SimHei"/>
          <w:b/>
          <w:bCs/>
          <w:kern w:val="0"/>
          <w:sz w:val="27"/>
          <w:szCs w:val="27"/>
        </w:rPr>
        <w:t xml:space="preserve"> </w:t>
      </w:r>
      <w:r>
        <w:rPr>
          <w:rFonts w:ascii="Calibri" w:hAnsi="Calibri" w:eastAsia="Calibri" w:cs="Calibri"/>
          <w:b/>
          <w:bCs/>
          <w:kern w:val="0"/>
          <w:sz w:val="27"/>
          <w:szCs w:val="27"/>
        </w:rPr>
        <w:t> </w:t>
      </w:r>
      <w:r>
        <w:rPr>
          <w:rFonts w:ascii="SimHei" w:hAnsi="SimHei" w:eastAsia="SimHei" w:cs="SimHei"/>
          <w:b/>
          <w:bCs/>
          <w:kern w:val="0"/>
          <w:sz w:val="27"/>
          <w:szCs w:val="27"/>
        </w:rPr>
        <w:t xml:space="preserve"> 四、财政拨款收入支出决算总体情况说明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（反映部门（单位）年度财政拨款总体收支决算情况。财政拨款收入数、支出数应与“公开</w:t>
      </w:r>
      <w:r>
        <w:rPr>
          <w:rFonts w:ascii="times_new_roman" w:hAnsi="times_new_roman" w:eastAsia="times_new_roman" w:cs="times_new_roman"/>
          <w:color w:val="0E00FE"/>
          <w:kern w:val="0"/>
          <w:sz w:val="27"/>
          <w:szCs w:val="27"/>
        </w:rPr>
        <w:t>04</w:t>
      </w:r>
      <w:r>
        <w:rPr>
          <w:rFonts w:ascii="fang_song_gb2312" w:hAnsi="fang_song_gb2312" w:eastAsia="fang_song_gb2312" w:cs="fang_song_gb2312"/>
          <w:color w:val="0E00FE"/>
          <w:kern w:val="0"/>
          <w:sz w:val="27"/>
          <w:szCs w:val="27"/>
        </w:rPr>
        <w:t>表财政拨款收入支出决算总表”数对应一致。）</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内蒙古自治区通辽市科学技术协会（部门）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年度财政拨款收入、支出决算总计</w:t>
      </w:r>
      <w:r>
        <w:rPr>
          <w:rFonts w:ascii="times_new_roman" w:hAnsi="times_new_roman" w:eastAsia="times_new_roman" w:cs="times_new_roman"/>
          <w:kern w:val="0"/>
          <w:sz w:val="27"/>
          <w:szCs w:val="27"/>
          <w:u w:val="single"/>
        </w:rPr>
        <w:t xml:space="preserve"> 1,369.36</w:t>
      </w:r>
      <w:r>
        <w:rPr>
          <w:rFonts w:ascii="fang_song_gb2312" w:hAnsi="fang_song_gb2312" w:eastAsia="fang_song_gb2312" w:cs="fang_song_gb2312"/>
          <w:kern w:val="0"/>
          <w:sz w:val="27"/>
          <w:szCs w:val="27"/>
        </w:rPr>
        <w:t>万元，与年初预算相比，收、支总计各增加（减少）</w:t>
      </w:r>
      <w:r>
        <w:rPr>
          <w:rFonts w:ascii="times_new_roman" w:hAnsi="times_new_roman" w:eastAsia="times_new_roman" w:cs="times_new_roman"/>
          <w:kern w:val="0"/>
          <w:sz w:val="27"/>
          <w:szCs w:val="27"/>
          <w:u w:val="single"/>
        </w:rPr>
        <w:t xml:space="preserve"> 557.81</w:t>
      </w:r>
      <w:r>
        <w:rPr>
          <w:rFonts w:ascii="fang_song_gb2312" w:hAnsi="fang_song_gb2312" w:eastAsia="fang_song_gb2312" w:cs="fang_song_gb2312"/>
          <w:kern w:val="0"/>
          <w:sz w:val="27"/>
          <w:szCs w:val="27"/>
        </w:rPr>
        <w:t>万元，增长（减少）</w:t>
      </w:r>
      <w:r>
        <w:rPr>
          <w:rFonts w:ascii="times_new_roman" w:hAnsi="times_new_roman" w:eastAsia="times_new_roman" w:cs="times_new_roman"/>
          <w:kern w:val="0"/>
          <w:sz w:val="27"/>
          <w:szCs w:val="27"/>
          <w:u w:val="single"/>
        </w:rPr>
        <w:t xml:space="preserve"> 68.73</w:t>
      </w:r>
      <w:r>
        <w:rPr>
          <w:rFonts w:ascii="fang_song_gb2312" w:hAnsi="fang_song_gb2312" w:eastAsia="fang_song_gb2312" w:cs="fang_song_gb2312"/>
          <w:kern w:val="0"/>
          <w:sz w:val="27"/>
          <w:szCs w:val="27"/>
        </w:rPr>
        <w:t>%，变动原因：……；与上年决算相比，收、支总计各增加（减少）</w:t>
      </w:r>
      <w:r>
        <w:rPr>
          <w:rFonts w:ascii="times_new_roman" w:hAnsi="times_new_roman" w:eastAsia="times_new_roman" w:cs="times_new_roman"/>
          <w:kern w:val="0"/>
          <w:sz w:val="27"/>
          <w:szCs w:val="27"/>
          <w:u w:val="single"/>
        </w:rPr>
        <w:t xml:space="preserve"> -291.20</w:t>
      </w:r>
      <w:r>
        <w:rPr>
          <w:rFonts w:ascii="fang_song_gb2312" w:hAnsi="fang_song_gb2312" w:eastAsia="fang_song_gb2312" w:cs="fang_song_gb2312"/>
          <w:kern w:val="0"/>
          <w:sz w:val="27"/>
          <w:szCs w:val="27"/>
        </w:rPr>
        <w:t>万元，增长（减少）</w:t>
      </w:r>
      <w:r>
        <w:rPr>
          <w:rFonts w:ascii="times_new_roman" w:hAnsi="times_new_roman" w:eastAsia="times_new_roman" w:cs="times_new_roman"/>
          <w:kern w:val="0"/>
          <w:sz w:val="27"/>
          <w:szCs w:val="27"/>
          <w:u w:val="single"/>
        </w:rPr>
        <w:t xml:space="preserve"> -17.54</w:t>
      </w:r>
      <w:r>
        <w:rPr>
          <w:rFonts w:ascii="fang_song_gb2312" w:hAnsi="fang_song_gb2312" w:eastAsia="fang_song_gb2312" w:cs="fang_song_gb2312"/>
          <w:kern w:val="0"/>
          <w:sz w:val="27"/>
          <w:szCs w:val="27"/>
        </w:rPr>
        <w:t>%，变动原因：……。</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SimHei" w:hAnsi="SimHei" w:eastAsia="SimHei" w:cs="SimHei"/>
          <w:b/>
          <w:bCs/>
          <w:kern w:val="0"/>
          <w:sz w:val="27"/>
          <w:szCs w:val="27"/>
        </w:rPr>
        <w:t xml:space="preserve"> </w:t>
      </w:r>
      <w:r>
        <w:rPr>
          <w:rFonts w:ascii="Calibri" w:hAnsi="Calibri" w:eastAsia="Calibri" w:cs="Calibri"/>
          <w:b/>
          <w:bCs/>
          <w:kern w:val="0"/>
          <w:sz w:val="27"/>
          <w:szCs w:val="27"/>
        </w:rPr>
        <w:t> </w:t>
      </w:r>
      <w:r>
        <w:rPr>
          <w:rFonts w:ascii="SimHei" w:hAnsi="SimHei" w:eastAsia="SimHei" w:cs="SimHei"/>
          <w:b/>
          <w:bCs/>
          <w:kern w:val="0"/>
          <w:sz w:val="27"/>
          <w:szCs w:val="27"/>
        </w:rPr>
        <w:t xml:space="preserve"> 五、一般公共预算财政拨款支出决算情况说明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（反映部门（单位）年度一般公共预算财政拨款支出决算情况。按照“公开</w:t>
      </w:r>
      <w:r>
        <w:rPr>
          <w:rFonts w:ascii="times_new_roman" w:hAnsi="times_new_roman" w:eastAsia="times_new_roman" w:cs="times_new_roman"/>
          <w:color w:val="0E00FE"/>
          <w:kern w:val="0"/>
          <w:sz w:val="27"/>
          <w:szCs w:val="27"/>
        </w:rPr>
        <w:t>06</w:t>
      </w:r>
      <w:r>
        <w:rPr>
          <w:rFonts w:ascii="fang_song_gb2312" w:hAnsi="fang_song_gb2312" w:eastAsia="fang_song_gb2312" w:cs="fang_song_gb2312"/>
          <w:color w:val="0E00FE"/>
          <w:kern w:val="0"/>
          <w:sz w:val="27"/>
          <w:szCs w:val="27"/>
        </w:rPr>
        <w:t>表一般公共预算财政拨款支出决算表”中的功能分类“项”级科目，结合本部门（单位）同一年度部门（单位）预算“公开</w:t>
      </w:r>
      <w:r>
        <w:rPr>
          <w:rFonts w:ascii="times_new_roman" w:hAnsi="times_new_roman" w:eastAsia="times_new_roman" w:cs="times_new_roman"/>
          <w:color w:val="0E00FE"/>
          <w:kern w:val="0"/>
          <w:sz w:val="27"/>
          <w:szCs w:val="27"/>
        </w:rPr>
        <w:t>05</w:t>
      </w:r>
      <w:r>
        <w:rPr>
          <w:rFonts w:ascii="fang_song_gb2312" w:hAnsi="fang_song_gb2312" w:eastAsia="fang_song_gb2312" w:cs="fang_song_gb2312"/>
          <w:color w:val="0E00FE"/>
          <w:kern w:val="0"/>
          <w:sz w:val="27"/>
          <w:szCs w:val="27"/>
        </w:rPr>
        <w:t>表一般公共预算支出表”对应情况，对年度涉及支出功能分类科目类、款、项情况进行说明，并说明与预算差异情况。说明模板仅作展示举例，单位要将未使用科目删除，同时检查序号是否连续。）</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一般公共预算既包括使用本年从本级财政取得的财政拨款发生的支出，也包括使用上年度财政拨款结转资金发生的支出。</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内蒙古自治区通辽市科学技术协会（部门）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年度一般公共预算财政拨款支出决算</w:t>
      </w:r>
      <w:r>
        <w:rPr>
          <w:rFonts w:ascii="times_new_roman" w:hAnsi="times_new_roman" w:eastAsia="times_new_roman" w:cs="times_new_roman"/>
          <w:kern w:val="0"/>
          <w:sz w:val="27"/>
          <w:szCs w:val="27"/>
          <w:u w:val="single"/>
        </w:rPr>
        <w:t xml:space="preserve"> 1,369.36</w:t>
      </w:r>
      <w:r>
        <w:rPr>
          <w:rFonts w:ascii="fang_song_gb2312" w:hAnsi="fang_song_gb2312" w:eastAsia="fang_song_gb2312" w:cs="fang_song_gb2312"/>
          <w:kern w:val="0"/>
          <w:sz w:val="27"/>
          <w:szCs w:val="27"/>
        </w:rPr>
        <w:t>万元。与年初预算</w:t>
      </w:r>
      <w:r>
        <w:rPr>
          <w:rFonts w:ascii="times_new_roman" w:hAnsi="times_new_roman" w:eastAsia="times_new_roman" w:cs="times_new_roman"/>
          <w:kern w:val="0"/>
          <w:sz w:val="27"/>
          <w:szCs w:val="27"/>
          <w:u w:val="single"/>
        </w:rPr>
        <w:t xml:space="preserve"> 811.55</w:t>
      </w:r>
      <w:r>
        <w:rPr>
          <w:rFonts w:ascii="fang_song_gb2312" w:hAnsi="fang_song_gb2312" w:eastAsia="fang_song_gb2312" w:cs="fang_song_gb2312"/>
          <w:kern w:val="0"/>
          <w:sz w:val="27"/>
          <w:szCs w:val="27"/>
        </w:rPr>
        <w:t>万元相比，完成年初预算的</w:t>
      </w:r>
      <w:r>
        <w:rPr>
          <w:rFonts w:ascii="times_new_roman" w:hAnsi="times_new_roman" w:eastAsia="times_new_roman" w:cs="times_new_roman"/>
          <w:kern w:val="0"/>
          <w:sz w:val="27"/>
          <w:szCs w:val="27"/>
          <w:u w:val="single"/>
        </w:rPr>
        <w:t xml:space="preserve"> 168.73</w:t>
      </w:r>
      <w:r>
        <w:rPr>
          <w:rFonts w:ascii="fang_song_gb2312" w:hAnsi="fang_song_gb2312" w:eastAsia="fang_song_gb2312" w:cs="fang_song_gb2312"/>
          <w:kern w:val="0"/>
          <w:sz w:val="27"/>
          <w:szCs w:val="27"/>
        </w:rPr>
        <w:t>%。其中：</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（一）一般公共服务（类）</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一般公共服务类决算数为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万元，与年初预算相比增加（减少）</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万元。其中：</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1．人大事务（款）行政运行（项）。年初预算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万元，支出决算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万元，完成年初预算的</w:t>
      </w:r>
      <w:r>
        <w:rPr>
          <w:rFonts w:ascii="times_new_roman" w:hAnsi="times_new_roman" w:eastAsia="times_new_roman" w:cs="times_new_roman"/>
          <w:kern w:val="0"/>
          <w:sz w:val="27"/>
          <w:szCs w:val="27"/>
          <w:u w:val="single"/>
        </w:rPr>
        <w:t>XX.X</w:t>
      </w:r>
      <w:r>
        <w:rPr>
          <w:rFonts w:ascii="fang_song_gb2312" w:hAnsi="fang_song_gb2312" w:eastAsia="fang_song_gb2312" w:cs="fang_song_gb2312"/>
          <w:kern w:val="0"/>
          <w:sz w:val="27"/>
          <w:szCs w:val="27"/>
        </w:rPr>
        <w:t>%。决算数与年初预算数的差异原因：……。</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2．……</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（二）公共安全（类）</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公共安全类决算数为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万元，与年初预算相比增加（减少）</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万元。其中：</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1．公安（款）行政运行（项）。年初预算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万元，支出决算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万元，完成年初预算的</w:t>
      </w:r>
      <w:r>
        <w:rPr>
          <w:rFonts w:ascii="times_new_roman" w:hAnsi="times_new_roman" w:eastAsia="times_new_roman" w:cs="times_new_roman"/>
          <w:kern w:val="0"/>
          <w:sz w:val="27"/>
          <w:szCs w:val="27"/>
          <w:u w:val="single"/>
        </w:rPr>
        <w:t>XX.X</w:t>
      </w:r>
      <w:r>
        <w:rPr>
          <w:rFonts w:ascii="fang_song_gb2312" w:hAnsi="fang_song_gb2312" w:eastAsia="fang_song_gb2312" w:cs="fang_song_gb2312"/>
          <w:kern w:val="0"/>
          <w:sz w:val="27"/>
          <w:szCs w:val="27"/>
        </w:rPr>
        <w:t>%。决算数与年初预算数的差异原因：……。</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（三）社会保障和就业支出（类）</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社会保障和就业支出类决算数为</w:t>
      </w:r>
      <w:r>
        <w:rPr>
          <w:rFonts w:ascii="times_new_roman" w:hAnsi="times_new_roman" w:eastAsia="times_new_roman" w:cs="times_new_roman"/>
          <w:kern w:val="0"/>
          <w:sz w:val="27"/>
          <w:szCs w:val="27"/>
          <w:u w:val="single"/>
        </w:rPr>
        <w:t xml:space="preserve"> 95.03</w:t>
      </w:r>
      <w:r>
        <w:rPr>
          <w:rFonts w:ascii="fang_song_gb2312" w:hAnsi="fang_song_gb2312" w:eastAsia="fang_song_gb2312" w:cs="fang_song_gb2312"/>
          <w:kern w:val="0"/>
          <w:sz w:val="27"/>
          <w:szCs w:val="27"/>
        </w:rPr>
        <w:t>万元，与年初预算相比增加（减少）</w:t>
      </w:r>
      <w:r>
        <w:rPr>
          <w:rFonts w:ascii="times_new_roman" w:hAnsi="times_new_roman" w:eastAsia="times_new_roman" w:cs="times_new_roman"/>
          <w:kern w:val="0"/>
          <w:sz w:val="27"/>
          <w:szCs w:val="27"/>
          <w:u w:val="single"/>
        </w:rPr>
        <w:t xml:space="preserve"> -11.99</w:t>
      </w:r>
      <w:r>
        <w:rPr>
          <w:rFonts w:ascii="fang_song_gb2312" w:hAnsi="fang_song_gb2312" w:eastAsia="fang_song_gb2312" w:cs="fang_song_gb2312"/>
          <w:kern w:val="0"/>
          <w:sz w:val="27"/>
          <w:szCs w:val="27"/>
        </w:rPr>
        <w:t>万元。其中：</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w:t>
      </w:r>
      <w:r>
        <w:rPr>
          <w:rFonts w:ascii="times_new_roman" w:hAnsi="times_new_roman" w:eastAsia="times_new_roman" w:cs="times_new_roman"/>
          <w:kern w:val="0"/>
          <w:sz w:val="27"/>
          <w:szCs w:val="27"/>
        </w:rPr>
        <w:t>1．</w:t>
      </w:r>
      <w:r>
        <w:rPr>
          <w:rFonts w:ascii="fang_song_gb2312" w:hAnsi="fang_song_gb2312" w:eastAsia="fang_song_gb2312" w:cs="fang_song_gb2312"/>
          <w:kern w:val="0"/>
          <w:sz w:val="27"/>
          <w:szCs w:val="27"/>
        </w:rPr>
        <w:t>行政事业单位养老支出（款）行政单位离退休（项）。年初预算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万元，支出决算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万元，完成年初预算的</w:t>
      </w:r>
      <w:r>
        <w:rPr>
          <w:rFonts w:ascii="times_new_roman" w:hAnsi="times_new_roman" w:eastAsia="times_new_roman" w:cs="times_new_roman"/>
          <w:kern w:val="0"/>
          <w:sz w:val="27"/>
          <w:szCs w:val="27"/>
          <w:u w:val="single"/>
        </w:rPr>
        <w:t>XX.X</w:t>
      </w:r>
      <w:r>
        <w:rPr>
          <w:rFonts w:ascii="fang_song_gb2312" w:hAnsi="fang_song_gb2312" w:eastAsia="fang_song_gb2312" w:cs="fang_song_gb2312"/>
          <w:kern w:val="0"/>
          <w:sz w:val="27"/>
          <w:szCs w:val="27"/>
        </w:rPr>
        <w:t>%。决算数与年初预算数的差异原因：……。</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w:t>
      </w:r>
      <w:r>
        <w:rPr>
          <w:rFonts w:ascii="times_new_roman" w:hAnsi="times_new_roman" w:eastAsia="times_new_roman" w:cs="times_new_roman"/>
          <w:kern w:val="0"/>
          <w:sz w:val="27"/>
          <w:szCs w:val="27"/>
        </w:rPr>
        <w:t>2．</w:t>
      </w:r>
      <w:r>
        <w:rPr>
          <w:rFonts w:ascii="fang_song_gb2312" w:hAnsi="fang_song_gb2312" w:eastAsia="fang_song_gb2312" w:cs="fang_song_gb2312"/>
          <w:kern w:val="0"/>
          <w:sz w:val="27"/>
          <w:szCs w:val="27"/>
        </w:rPr>
        <w:t>行政事业单位养老支出（款）事业单位离退休（项）。年初预算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万元，支出决算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万元，完成年初预算的</w:t>
      </w:r>
      <w:r>
        <w:rPr>
          <w:rFonts w:ascii="times_new_roman" w:hAnsi="times_new_roman" w:eastAsia="times_new_roman" w:cs="times_new_roman"/>
          <w:kern w:val="0"/>
          <w:sz w:val="27"/>
          <w:szCs w:val="27"/>
          <w:u w:val="single"/>
        </w:rPr>
        <w:t>XX.X</w:t>
      </w:r>
      <w:r>
        <w:rPr>
          <w:rFonts w:ascii="fang_song_gb2312" w:hAnsi="fang_song_gb2312" w:eastAsia="fang_song_gb2312" w:cs="fang_song_gb2312"/>
          <w:kern w:val="0"/>
          <w:sz w:val="27"/>
          <w:szCs w:val="27"/>
        </w:rPr>
        <w:t>%。决算数与年初预算数的差异原因：……。</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w:t>
      </w:r>
      <w:r>
        <w:rPr>
          <w:rFonts w:ascii="times_new_roman" w:hAnsi="times_new_roman" w:eastAsia="times_new_roman" w:cs="times_new_roman"/>
          <w:kern w:val="0"/>
          <w:sz w:val="27"/>
          <w:szCs w:val="27"/>
        </w:rPr>
        <w:t>3．</w:t>
      </w:r>
      <w:r>
        <w:rPr>
          <w:rFonts w:ascii="fang_song_gb2312" w:hAnsi="fang_song_gb2312" w:eastAsia="fang_song_gb2312" w:cs="fang_song_gb2312"/>
          <w:kern w:val="0"/>
          <w:sz w:val="27"/>
          <w:szCs w:val="27"/>
        </w:rPr>
        <w:t>行政事业单位养老支出（款）机关事业单位基本养老保险缴费支出（项）。年初预算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万元，支出决算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万元，完成年初预算的</w:t>
      </w:r>
      <w:r>
        <w:rPr>
          <w:rFonts w:ascii="times_new_roman" w:hAnsi="times_new_roman" w:eastAsia="times_new_roman" w:cs="times_new_roman"/>
          <w:kern w:val="0"/>
          <w:sz w:val="27"/>
          <w:szCs w:val="27"/>
          <w:u w:val="single"/>
        </w:rPr>
        <w:t>XX.X</w:t>
      </w:r>
      <w:r>
        <w:rPr>
          <w:rFonts w:ascii="fang_song_gb2312" w:hAnsi="fang_song_gb2312" w:eastAsia="fang_song_gb2312" w:cs="fang_song_gb2312"/>
          <w:kern w:val="0"/>
          <w:sz w:val="27"/>
          <w:szCs w:val="27"/>
        </w:rPr>
        <w:t>%。决算数与年初预算数的差异原因：……。</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w:t>
      </w:r>
      <w:r>
        <w:rPr>
          <w:rFonts w:ascii="times_new_roman" w:hAnsi="times_new_roman" w:eastAsia="times_new_roman" w:cs="times_new_roman"/>
          <w:kern w:val="0"/>
          <w:sz w:val="27"/>
          <w:szCs w:val="27"/>
        </w:rPr>
        <w:t>4．</w:t>
      </w:r>
      <w:r>
        <w:rPr>
          <w:rFonts w:ascii="fang_song_gb2312" w:hAnsi="fang_song_gb2312" w:eastAsia="fang_song_gb2312" w:cs="fang_song_gb2312"/>
          <w:kern w:val="0"/>
          <w:sz w:val="27"/>
          <w:szCs w:val="27"/>
        </w:rPr>
        <w:t>行政事业单位养老支出（款）机关事业单位职业年金缴费支出（项）。年初预算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万元，支出决算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万元，完成年初预算的</w:t>
      </w:r>
      <w:r>
        <w:rPr>
          <w:rFonts w:ascii="times_new_roman" w:hAnsi="times_new_roman" w:eastAsia="times_new_roman" w:cs="times_new_roman"/>
          <w:kern w:val="0"/>
          <w:sz w:val="27"/>
          <w:szCs w:val="27"/>
          <w:u w:val="single"/>
        </w:rPr>
        <w:t>XX.X</w:t>
      </w:r>
      <w:r>
        <w:rPr>
          <w:rFonts w:ascii="fang_song_gb2312" w:hAnsi="fang_song_gb2312" w:eastAsia="fang_song_gb2312" w:cs="fang_song_gb2312"/>
          <w:kern w:val="0"/>
          <w:sz w:val="27"/>
          <w:szCs w:val="27"/>
        </w:rPr>
        <w:t>%。决算数与年初预算数的差异原因：……。</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（四）卫生健康支出（类）</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卫生健康支出类决算数为</w:t>
      </w:r>
      <w:r>
        <w:rPr>
          <w:rFonts w:ascii="times_new_roman" w:hAnsi="times_new_roman" w:eastAsia="times_new_roman" w:cs="times_new_roman"/>
          <w:kern w:val="0"/>
          <w:sz w:val="27"/>
          <w:szCs w:val="27"/>
          <w:u w:val="single"/>
        </w:rPr>
        <w:t xml:space="preserve"> 32.24</w:t>
      </w:r>
      <w:r>
        <w:rPr>
          <w:rFonts w:ascii="fang_song_gb2312" w:hAnsi="fang_song_gb2312" w:eastAsia="fang_song_gb2312" w:cs="fang_song_gb2312"/>
          <w:kern w:val="0"/>
          <w:sz w:val="27"/>
          <w:szCs w:val="27"/>
        </w:rPr>
        <w:t>万元，与年初预算相比增加（减少）</w:t>
      </w:r>
      <w:r>
        <w:rPr>
          <w:rFonts w:ascii="times_new_roman" w:hAnsi="times_new_roman" w:eastAsia="times_new_roman" w:cs="times_new_roman"/>
          <w:kern w:val="0"/>
          <w:sz w:val="27"/>
          <w:szCs w:val="27"/>
          <w:u w:val="single"/>
        </w:rPr>
        <w:t xml:space="preserve"> -6.37</w:t>
      </w:r>
      <w:r>
        <w:rPr>
          <w:rFonts w:ascii="fang_song_gb2312" w:hAnsi="fang_song_gb2312" w:eastAsia="fang_song_gb2312" w:cs="fang_song_gb2312"/>
          <w:kern w:val="0"/>
          <w:sz w:val="27"/>
          <w:szCs w:val="27"/>
        </w:rPr>
        <w:t>万元。其中：</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w:t>
      </w:r>
      <w:r>
        <w:rPr>
          <w:rFonts w:ascii="times_new_roman" w:hAnsi="times_new_roman" w:eastAsia="times_new_roman" w:cs="times_new_roman"/>
          <w:kern w:val="0"/>
          <w:sz w:val="27"/>
          <w:szCs w:val="27"/>
        </w:rPr>
        <w:t>1．</w:t>
      </w:r>
      <w:r>
        <w:rPr>
          <w:rFonts w:ascii="fang_song_gb2312" w:hAnsi="fang_song_gb2312" w:eastAsia="fang_song_gb2312" w:cs="fang_song_gb2312"/>
          <w:kern w:val="0"/>
          <w:sz w:val="27"/>
          <w:szCs w:val="27"/>
        </w:rPr>
        <w:t>行政事业单位医疗（款）行政单位医疗（项）。年初预算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万元，支出决算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万元，完成年初预算的</w:t>
      </w:r>
      <w:r>
        <w:rPr>
          <w:rFonts w:ascii="times_new_roman" w:hAnsi="times_new_roman" w:eastAsia="times_new_roman" w:cs="times_new_roman"/>
          <w:kern w:val="0"/>
          <w:sz w:val="27"/>
          <w:szCs w:val="27"/>
          <w:u w:val="single"/>
        </w:rPr>
        <w:t>XX.X</w:t>
      </w:r>
      <w:r>
        <w:rPr>
          <w:rFonts w:ascii="fang_song_gb2312" w:hAnsi="fang_song_gb2312" w:eastAsia="fang_song_gb2312" w:cs="fang_song_gb2312"/>
          <w:kern w:val="0"/>
          <w:sz w:val="27"/>
          <w:szCs w:val="27"/>
        </w:rPr>
        <w:t>%。决算数与年初预算数的差异原因：……。</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w:t>
      </w:r>
      <w:r>
        <w:rPr>
          <w:rFonts w:ascii="times_new_roman" w:hAnsi="times_new_roman" w:eastAsia="times_new_roman" w:cs="times_new_roman"/>
          <w:kern w:val="0"/>
          <w:sz w:val="27"/>
          <w:szCs w:val="27"/>
        </w:rPr>
        <w:t>2．</w:t>
      </w:r>
      <w:r>
        <w:rPr>
          <w:rFonts w:ascii="fang_song_gb2312" w:hAnsi="fang_song_gb2312" w:eastAsia="fang_song_gb2312" w:cs="fang_song_gb2312"/>
          <w:kern w:val="0"/>
          <w:sz w:val="27"/>
          <w:szCs w:val="27"/>
        </w:rPr>
        <w:t>行政事业单位医疗（款）事业单位医疗（项）。年初预算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万元，支出决算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万元，完成年初预算的</w:t>
      </w:r>
      <w:r>
        <w:rPr>
          <w:rFonts w:ascii="times_new_roman" w:hAnsi="times_new_roman" w:eastAsia="times_new_roman" w:cs="times_new_roman"/>
          <w:kern w:val="0"/>
          <w:sz w:val="27"/>
          <w:szCs w:val="27"/>
          <w:u w:val="single"/>
        </w:rPr>
        <w:t>XX.X</w:t>
      </w:r>
      <w:r>
        <w:rPr>
          <w:rFonts w:ascii="fang_song_gb2312" w:hAnsi="fang_song_gb2312" w:eastAsia="fang_song_gb2312" w:cs="fang_song_gb2312"/>
          <w:kern w:val="0"/>
          <w:sz w:val="27"/>
          <w:szCs w:val="27"/>
        </w:rPr>
        <w:t>%。决算数与年初预算数的差异原因：……。</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w:t>
      </w:r>
      <w:r>
        <w:rPr>
          <w:rFonts w:ascii="times_new_roman" w:hAnsi="times_new_roman" w:eastAsia="times_new_roman" w:cs="times_new_roman"/>
          <w:kern w:val="0"/>
          <w:sz w:val="27"/>
          <w:szCs w:val="27"/>
        </w:rPr>
        <w:t>3．</w:t>
      </w:r>
      <w:r>
        <w:rPr>
          <w:rFonts w:ascii="fang_song_gb2312" w:hAnsi="fang_song_gb2312" w:eastAsia="fang_song_gb2312" w:cs="fang_song_gb2312"/>
          <w:kern w:val="0"/>
          <w:sz w:val="27"/>
          <w:szCs w:val="27"/>
        </w:rPr>
        <w:t>行政事业单位医疗（款）公务员医疗补助（项）。年初预算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万元，支出决算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万元，完成年初预算的</w:t>
      </w:r>
      <w:r>
        <w:rPr>
          <w:rFonts w:ascii="times_new_roman" w:hAnsi="times_new_roman" w:eastAsia="times_new_roman" w:cs="times_new_roman"/>
          <w:kern w:val="0"/>
          <w:sz w:val="27"/>
          <w:szCs w:val="27"/>
          <w:u w:val="single"/>
        </w:rPr>
        <w:t>XX.X</w:t>
      </w:r>
      <w:r>
        <w:rPr>
          <w:rFonts w:ascii="fang_song_gb2312" w:hAnsi="fang_song_gb2312" w:eastAsia="fang_song_gb2312" w:cs="fang_song_gb2312"/>
          <w:kern w:val="0"/>
          <w:sz w:val="27"/>
          <w:szCs w:val="27"/>
        </w:rPr>
        <w:t>%。决算数与年初预算数的差异原因：……。</w:t>
      </w: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（五）住房保障支出（类）</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住房保障支出类决算数为</w:t>
      </w:r>
      <w:r>
        <w:rPr>
          <w:rFonts w:ascii="times_new_roman" w:hAnsi="times_new_roman" w:eastAsia="times_new_roman" w:cs="times_new_roman"/>
          <w:kern w:val="0"/>
          <w:sz w:val="27"/>
          <w:szCs w:val="27"/>
          <w:u w:val="single"/>
        </w:rPr>
        <w:t xml:space="preserve"> 47.84</w:t>
      </w:r>
      <w:r>
        <w:rPr>
          <w:rFonts w:ascii="fang_song_gb2312" w:hAnsi="fang_song_gb2312" w:eastAsia="fang_song_gb2312" w:cs="fang_song_gb2312"/>
          <w:kern w:val="0"/>
          <w:sz w:val="27"/>
          <w:szCs w:val="27"/>
        </w:rPr>
        <w:t>万元，与年初预算相比增加（减少）</w:t>
      </w:r>
      <w:r>
        <w:rPr>
          <w:rFonts w:ascii="times_new_roman" w:hAnsi="times_new_roman" w:eastAsia="times_new_roman" w:cs="times_new_roman"/>
          <w:kern w:val="0"/>
          <w:sz w:val="27"/>
          <w:szCs w:val="27"/>
          <w:u w:val="single"/>
        </w:rPr>
        <w:t xml:space="preserve"> -3.26</w:t>
      </w:r>
      <w:r>
        <w:rPr>
          <w:rFonts w:ascii="fang_song_gb2312" w:hAnsi="fang_song_gb2312" w:eastAsia="fang_song_gb2312" w:cs="fang_song_gb2312"/>
          <w:kern w:val="0"/>
          <w:sz w:val="27"/>
          <w:szCs w:val="27"/>
        </w:rPr>
        <w:t>万元。其中：</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w:t>
      </w:r>
      <w:r>
        <w:rPr>
          <w:rFonts w:ascii="times_new_roman" w:hAnsi="times_new_roman" w:eastAsia="times_new_roman" w:cs="times_new_roman"/>
          <w:kern w:val="0"/>
          <w:sz w:val="27"/>
          <w:szCs w:val="27"/>
        </w:rPr>
        <w:t>1．</w:t>
      </w:r>
      <w:r>
        <w:rPr>
          <w:rFonts w:ascii="fang_song_gb2312" w:hAnsi="fang_song_gb2312" w:eastAsia="fang_song_gb2312" w:cs="fang_song_gb2312"/>
          <w:kern w:val="0"/>
          <w:sz w:val="27"/>
          <w:szCs w:val="27"/>
        </w:rPr>
        <w:t>住房改革支出（款）住房公积金（项）。年初预算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万元，支出决算</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万元，完成年初预算的</w:t>
      </w:r>
      <w:r>
        <w:rPr>
          <w:rFonts w:ascii="times_new_roman" w:hAnsi="times_new_roman" w:eastAsia="times_new_roman" w:cs="times_new_roman"/>
          <w:kern w:val="0"/>
          <w:sz w:val="27"/>
          <w:szCs w:val="27"/>
          <w:u w:val="single"/>
        </w:rPr>
        <w:t>XX.X</w:t>
      </w:r>
      <w:r>
        <w:rPr>
          <w:rFonts w:ascii="fang_song_gb2312" w:hAnsi="fang_song_gb2312" w:eastAsia="fang_song_gb2312" w:cs="fang_song_gb2312"/>
          <w:kern w:val="0"/>
          <w:sz w:val="27"/>
          <w:szCs w:val="27"/>
        </w:rPr>
        <w:t>%。决算数与年初预算数的差异原因：……。</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SimHei" w:hAnsi="SimHei" w:eastAsia="SimHei" w:cs="SimHei"/>
          <w:b/>
          <w:bCs/>
          <w:kern w:val="0"/>
          <w:sz w:val="27"/>
          <w:szCs w:val="27"/>
        </w:rPr>
        <w:t xml:space="preserve"> </w:t>
      </w:r>
      <w:r>
        <w:rPr>
          <w:rFonts w:ascii="Calibri" w:hAnsi="Calibri" w:eastAsia="Calibri" w:cs="Calibri"/>
          <w:b/>
          <w:bCs/>
          <w:kern w:val="0"/>
          <w:sz w:val="27"/>
          <w:szCs w:val="27"/>
        </w:rPr>
        <w:t> </w:t>
      </w:r>
      <w:r>
        <w:rPr>
          <w:rFonts w:ascii="SimHei" w:hAnsi="SimHei" w:eastAsia="SimHei" w:cs="SimHei"/>
          <w:b/>
          <w:bCs/>
          <w:kern w:val="0"/>
          <w:sz w:val="27"/>
          <w:szCs w:val="27"/>
        </w:rPr>
        <w:t xml:space="preserve"> 六、一般公共预算财政拨款基本支出决算情况说明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（反映部门（单位）年度一般公共预算财政拨款基本支出决算情况）</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内蒙古自治区通辽市科学技术协会（部门） 2023年度一般公共预算财政拨款基本支出决算</w:t>
      </w:r>
      <w:r>
        <w:rPr>
          <w:rFonts w:ascii="times_new_roman" w:hAnsi="times_new_roman" w:eastAsia="times_new_roman" w:cs="times_new_roman"/>
          <w:kern w:val="0"/>
          <w:sz w:val="27"/>
          <w:szCs w:val="27"/>
          <w:u w:val="single"/>
        </w:rPr>
        <w:t xml:space="preserve"> 630.27</w:t>
      </w:r>
      <w:r>
        <w:rPr>
          <w:rFonts w:ascii="fang_song_gb2312" w:hAnsi="fang_song_gb2312" w:eastAsia="fang_song_gb2312" w:cs="fang_song_gb2312"/>
          <w:kern w:val="0"/>
          <w:sz w:val="27"/>
          <w:szCs w:val="27"/>
        </w:rPr>
        <w:t>万元，其中：</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（一）人员经费</w:t>
      </w:r>
      <w:r>
        <w:rPr>
          <w:rFonts w:ascii="times_new_roman" w:hAnsi="times_new_roman" w:eastAsia="times_new_roman" w:cs="times_new_roman"/>
          <w:kern w:val="0"/>
          <w:sz w:val="27"/>
          <w:szCs w:val="27"/>
          <w:u w:val="single"/>
        </w:rPr>
        <w:t xml:space="preserve"> 598.74</w:t>
      </w:r>
      <w:r>
        <w:rPr>
          <w:rFonts w:ascii="fang_song_gb2312" w:hAnsi="fang_song_gb2312" w:eastAsia="fang_song_gb2312" w:cs="fang_song_gb2312"/>
          <w:b/>
          <w:bCs/>
          <w:kern w:val="0"/>
          <w:sz w:val="27"/>
          <w:szCs w:val="27"/>
        </w:rPr>
        <w:t>万元</w:t>
      </w:r>
      <w:r>
        <w:rPr>
          <w:rFonts w:ascii="fang_song_gb2312" w:hAnsi="fang_song_gb2312" w:eastAsia="fang_song_gb2312" w:cs="fang_song_gb2312"/>
          <w:kern w:val="0"/>
          <w:sz w:val="27"/>
          <w:szCs w:val="27"/>
        </w:rPr>
        <w:t>。主要包括：基本工资、津贴补贴、奖金、社会保障缴费、伙食补助费、绩效工资、其他工资福利支出、离休费、退休费、抚恤金、生活补助、医疗费、奖励金、住房公积金、提租补贴、其他对个人和家庭的补助支出等。</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（按“公开06表一般公共预算财政拨款基本支出决算明细表”中经济分类支出事项填写）</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（二）公用经费</w:t>
      </w:r>
      <w:r>
        <w:rPr>
          <w:rFonts w:ascii="times_new_roman" w:hAnsi="times_new_roman" w:eastAsia="times_new_roman" w:cs="times_new_roman"/>
          <w:kern w:val="0"/>
          <w:sz w:val="27"/>
          <w:szCs w:val="27"/>
          <w:u w:val="single"/>
        </w:rPr>
        <w:t xml:space="preserve"> 31.54</w:t>
      </w:r>
      <w:r>
        <w:rPr>
          <w:rFonts w:ascii="fang_song_gb2312" w:hAnsi="fang_song_gb2312" w:eastAsia="fang_song_gb2312" w:cs="fang_song_gb2312"/>
          <w:b/>
          <w:bCs/>
          <w:kern w:val="0"/>
          <w:sz w:val="27"/>
          <w:szCs w:val="27"/>
        </w:rPr>
        <w:t>万元</w:t>
      </w:r>
      <w:r>
        <w:rPr>
          <w:rFonts w:ascii="fang_song_gb2312" w:hAnsi="fang_song_gb2312" w:eastAsia="fang_song_gb2312" w:cs="fang_song_gb2312"/>
          <w:kern w:val="0"/>
          <w:sz w:val="27"/>
          <w:szCs w:val="27"/>
        </w:rPr>
        <w:t>。主要包括：办公费、印刷费、咨询费、手续费、水费、电费、邮电费、取暖费、物业管理费、差旅费、维修（护）费、租赁费、会议费、培训费、公务接待费、专用材料费、劳务费、委托业务费、工会经费、福利费、公务用车运行维护费、其他交通费用、其他商品和服务支出、办公设备购置、专用设备购置、信息网络及软件购置更新、其他资本性支出等。</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（按“公开</w:t>
      </w:r>
      <w:r>
        <w:rPr>
          <w:rFonts w:ascii="times_new_roman" w:hAnsi="times_new_roman" w:eastAsia="times_new_roman" w:cs="times_new_roman"/>
          <w:color w:val="0E00FE"/>
          <w:kern w:val="0"/>
          <w:sz w:val="27"/>
          <w:szCs w:val="27"/>
        </w:rPr>
        <w:t>06</w:t>
      </w:r>
      <w:r>
        <w:rPr>
          <w:rFonts w:ascii="fang_song_gb2312" w:hAnsi="fang_song_gb2312" w:eastAsia="fang_song_gb2312" w:cs="fang_song_gb2312"/>
          <w:color w:val="0E00FE"/>
          <w:kern w:val="0"/>
          <w:sz w:val="27"/>
          <w:szCs w:val="27"/>
        </w:rPr>
        <w:t>表一般公共预算财政拨款基本支出决算明细表”中经济分类支出事项填写）</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SimHei" w:hAnsi="SimHei" w:eastAsia="SimHei" w:cs="SimHei"/>
          <w:b/>
          <w:bCs/>
          <w:kern w:val="0"/>
          <w:sz w:val="27"/>
          <w:szCs w:val="27"/>
        </w:rPr>
        <w:t xml:space="preserve"> </w:t>
      </w:r>
      <w:r>
        <w:rPr>
          <w:rFonts w:ascii="Calibri" w:hAnsi="Calibri" w:eastAsia="Calibri" w:cs="Calibri"/>
          <w:b/>
          <w:bCs/>
          <w:kern w:val="0"/>
          <w:sz w:val="27"/>
          <w:szCs w:val="27"/>
        </w:rPr>
        <w:t> </w:t>
      </w:r>
      <w:r>
        <w:rPr>
          <w:rFonts w:ascii="SimHei" w:hAnsi="SimHei" w:eastAsia="SimHei" w:cs="SimHei"/>
          <w:b/>
          <w:bCs/>
          <w:kern w:val="0"/>
          <w:sz w:val="27"/>
          <w:szCs w:val="27"/>
        </w:rPr>
        <w:t xml:space="preserve"> 七、一般公共预算财政拨款项目支出决算情况说明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（反映部门（单位）年度一般公共预算财政拨款项目支出决算情况）</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内蒙古自治区通辽市科学技术协会（部门）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年度一般公共预算财政拨款项目支出决算</w:t>
      </w:r>
      <w:r>
        <w:rPr>
          <w:rFonts w:ascii="times_new_roman" w:hAnsi="times_new_roman" w:eastAsia="times_new_roman" w:cs="times_new_roman"/>
          <w:kern w:val="0"/>
          <w:sz w:val="27"/>
          <w:szCs w:val="27"/>
          <w:u w:val="single"/>
        </w:rPr>
        <w:t xml:space="preserve"> 739.09</w:t>
      </w:r>
      <w:r>
        <w:rPr>
          <w:rFonts w:ascii="fang_song_gb2312" w:hAnsi="fang_song_gb2312" w:eastAsia="fang_song_gb2312" w:cs="fang_song_gb2312"/>
          <w:kern w:val="0"/>
          <w:sz w:val="27"/>
          <w:szCs w:val="27"/>
        </w:rPr>
        <w:t>万元，其中：</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（一）工资福利支出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b/>
          <w:bCs/>
          <w:kern w:val="0"/>
          <w:sz w:val="27"/>
          <w:szCs w:val="27"/>
        </w:rPr>
        <w:t>万元</w:t>
      </w:r>
      <w:r>
        <w:rPr>
          <w:rFonts w:ascii="fang_song_gb2312" w:hAnsi="fang_song_gb2312" w:eastAsia="fang_song_gb2312" w:cs="fang_song_gb2312"/>
          <w:kern w:val="0"/>
          <w:sz w:val="27"/>
          <w:szCs w:val="27"/>
        </w:rPr>
        <w:t>。主要包括：基本工资、津贴补贴、奖金、伙食补助费、绩效工资、机关事业单位基本养老保险缴费、职业年金缴费、职工基本医疗保险缴费、公务员医疗补助缴费、其他社会保障缴费、住房公积金、医疗费、其他工资福利支出等。</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（二）商品和服务支出</w:t>
      </w:r>
      <w:r>
        <w:rPr>
          <w:rFonts w:ascii="times_new_roman" w:hAnsi="times_new_roman" w:eastAsia="times_new_roman" w:cs="times_new_roman"/>
          <w:kern w:val="0"/>
          <w:sz w:val="27"/>
          <w:szCs w:val="27"/>
          <w:u w:val="single"/>
        </w:rPr>
        <w:t xml:space="preserve"> 308.35</w:t>
      </w:r>
      <w:r>
        <w:rPr>
          <w:rFonts w:ascii="fang_song_gb2312" w:hAnsi="fang_song_gb2312" w:eastAsia="fang_song_gb2312" w:cs="fang_song_gb2312"/>
          <w:b/>
          <w:bCs/>
          <w:kern w:val="0"/>
          <w:sz w:val="27"/>
          <w:szCs w:val="27"/>
        </w:rPr>
        <w:t>万元</w:t>
      </w:r>
      <w:r>
        <w:rPr>
          <w:rFonts w:ascii="fang_song_gb2312" w:hAnsi="fang_song_gb2312" w:eastAsia="fang_song_gb2312" w:cs="fang_song_gb2312"/>
          <w:kern w:val="0"/>
          <w:sz w:val="27"/>
          <w:szCs w:val="27"/>
        </w:rPr>
        <w:t>。主要包括：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等。</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（按“公开</w:t>
      </w:r>
      <w:r>
        <w:rPr>
          <w:rFonts w:ascii="times_new_roman" w:hAnsi="times_new_roman" w:eastAsia="times_new_roman" w:cs="times_new_roman"/>
          <w:color w:val="0E00FE"/>
          <w:kern w:val="0"/>
          <w:sz w:val="27"/>
          <w:szCs w:val="27"/>
        </w:rPr>
        <w:t>07</w:t>
      </w:r>
      <w:r>
        <w:rPr>
          <w:rFonts w:ascii="fang_song_gb2312" w:hAnsi="fang_song_gb2312" w:eastAsia="fang_song_gb2312" w:cs="fang_song_gb2312"/>
          <w:color w:val="0E00FE"/>
          <w:kern w:val="0"/>
          <w:sz w:val="27"/>
          <w:szCs w:val="27"/>
        </w:rPr>
        <w:t>表一般公共预算财政拨款项目支出决算明细表”中经济分类支出事项填写；当项目开支人员经费时，应对开支人员经费的特殊事项予以说明）</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SimHei" w:hAnsi="SimHei" w:eastAsia="SimHei" w:cs="SimHei"/>
          <w:b/>
          <w:bCs/>
          <w:kern w:val="0"/>
          <w:sz w:val="27"/>
          <w:szCs w:val="27"/>
        </w:rPr>
        <w:t xml:space="preserve"> </w:t>
      </w:r>
      <w:r>
        <w:rPr>
          <w:rFonts w:ascii="Calibri" w:hAnsi="Calibri" w:eastAsia="Calibri" w:cs="Calibri"/>
          <w:b/>
          <w:bCs/>
          <w:kern w:val="0"/>
          <w:sz w:val="27"/>
          <w:szCs w:val="27"/>
        </w:rPr>
        <w:t> </w:t>
      </w:r>
      <w:r>
        <w:rPr>
          <w:rFonts w:ascii="SimHei" w:hAnsi="SimHei" w:eastAsia="SimHei" w:cs="SimHei"/>
          <w:b/>
          <w:bCs/>
          <w:kern w:val="0"/>
          <w:sz w:val="27"/>
          <w:szCs w:val="27"/>
        </w:rPr>
        <w:t xml:space="preserve"> 八、</w:t>
      </w:r>
      <w:r>
        <w:rPr>
          <w:rFonts w:ascii="SimHei" w:hAnsi="SimHei" w:eastAsia="SimHei" w:cs="SimHei"/>
          <w:b/>
          <w:bCs/>
          <w:kern w:val="0"/>
          <w:sz w:val="27"/>
          <w:szCs w:val="27"/>
        </w:rPr>
        <w:t>财政拨款</w:t>
      </w:r>
      <w:r>
        <w:rPr>
          <w:rFonts w:ascii="SimHei" w:hAnsi="SimHei" w:eastAsia="SimHei" w:cs="SimHei"/>
          <w:b/>
          <w:bCs/>
          <w:kern w:val="0"/>
          <w:sz w:val="27"/>
          <w:szCs w:val="27"/>
        </w:rPr>
        <w:t>“</w:t>
      </w:r>
      <w:r>
        <w:rPr>
          <w:rFonts w:ascii="SimHei" w:hAnsi="SimHei" w:eastAsia="SimHei" w:cs="SimHei"/>
          <w:b/>
          <w:bCs/>
          <w:kern w:val="0"/>
          <w:sz w:val="27"/>
          <w:szCs w:val="27"/>
        </w:rPr>
        <w:t>三公</w:t>
      </w:r>
      <w:r>
        <w:rPr>
          <w:rFonts w:ascii="SimHei" w:hAnsi="SimHei" w:eastAsia="SimHei" w:cs="SimHei"/>
          <w:b/>
          <w:bCs/>
          <w:kern w:val="0"/>
          <w:sz w:val="27"/>
          <w:szCs w:val="27"/>
        </w:rPr>
        <w:t>”</w:t>
      </w:r>
      <w:r>
        <w:rPr>
          <w:rFonts w:ascii="SimHei" w:hAnsi="SimHei" w:eastAsia="SimHei" w:cs="SimHei"/>
          <w:b/>
          <w:bCs/>
          <w:kern w:val="0"/>
          <w:sz w:val="27"/>
          <w:szCs w:val="27"/>
        </w:rPr>
        <w:t>经费支出决算情况说明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（反映部门（单位）年度财政拨款“三公”经费决算情况）</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（一）财政拨款</w:t>
      </w:r>
      <w:r>
        <w:rPr>
          <w:rFonts w:ascii="kai_ti_gb2312" w:hAnsi="kai_ti_gb2312" w:eastAsia="kai_ti_gb2312" w:cs="kai_ti_gb2312"/>
          <w:b/>
          <w:bCs/>
          <w:kern w:val="0"/>
          <w:sz w:val="27"/>
          <w:szCs w:val="27"/>
        </w:rPr>
        <w:t>“</w:t>
      </w:r>
      <w:r>
        <w:rPr>
          <w:rFonts w:ascii="kai_ti_gb2312" w:hAnsi="kai_ti_gb2312" w:eastAsia="kai_ti_gb2312" w:cs="kai_ti_gb2312"/>
          <w:b/>
          <w:bCs/>
          <w:kern w:val="0"/>
          <w:sz w:val="27"/>
          <w:szCs w:val="27"/>
        </w:rPr>
        <w:t>三公</w:t>
      </w:r>
      <w:r>
        <w:rPr>
          <w:rFonts w:ascii="kai_ti_gb2312" w:hAnsi="kai_ti_gb2312" w:eastAsia="kai_ti_gb2312" w:cs="kai_ti_gb2312"/>
          <w:b/>
          <w:bCs/>
          <w:kern w:val="0"/>
          <w:sz w:val="27"/>
          <w:szCs w:val="27"/>
        </w:rPr>
        <w:t>”</w:t>
      </w:r>
      <w:r>
        <w:rPr>
          <w:rFonts w:ascii="kai_ti_gb2312" w:hAnsi="kai_ti_gb2312" w:eastAsia="kai_ti_gb2312" w:cs="kai_ti_gb2312"/>
          <w:b/>
          <w:bCs/>
          <w:kern w:val="0"/>
          <w:sz w:val="27"/>
          <w:szCs w:val="27"/>
        </w:rPr>
        <w:t>经费支出总体情况说明。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内蒙古自治区通辽市科学技术协会（部门）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年度财政拨款“三公”经费全年预算</w:t>
      </w:r>
      <w:r>
        <w:rPr>
          <w:rFonts w:ascii="times_new_roman" w:hAnsi="times_new_roman" w:eastAsia="times_new_roman" w:cs="times_new_roman"/>
          <w:kern w:val="0"/>
          <w:sz w:val="27"/>
          <w:szCs w:val="27"/>
          <w:u w:val="single"/>
        </w:rPr>
        <w:t xml:space="preserve"> 0.64</w:t>
      </w:r>
      <w:r>
        <w:rPr>
          <w:rFonts w:ascii="fang_song_gb2312" w:hAnsi="fang_song_gb2312" w:eastAsia="fang_song_gb2312" w:cs="fang_song_gb2312"/>
          <w:kern w:val="0"/>
          <w:sz w:val="27"/>
          <w:szCs w:val="27"/>
        </w:rPr>
        <w:t>万元，支出决算</w:t>
      </w:r>
      <w:r>
        <w:rPr>
          <w:rFonts w:ascii="times_new_roman" w:hAnsi="times_new_roman" w:eastAsia="times_new_roman" w:cs="times_new_roman"/>
          <w:kern w:val="0"/>
          <w:sz w:val="27"/>
          <w:szCs w:val="27"/>
          <w:u w:val="single"/>
        </w:rPr>
        <w:t xml:space="preserve"> 0.64</w:t>
      </w:r>
      <w:r>
        <w:rPr>
          <w:rFonts w:ascii="fang_song_gb2312" w:hAnsi="fang_song_gb2312" w:eastAsia="fang_song_gb2312" w:cs="fang_song_gb2312"/>
          <w:kern w:val="0"/>
          <w:sz w:val="27"/>
          <w:szCs w:val="27"/>
        </w:rPr>
        <w:t>万元，完成预算的</w:t>
      </w:r>
      <w:r>
        <w:rPr>
          <w:rFonts w:ascii="times_new_roman" w:hAnsi="times_new_roman" w:eastAsia="times_new_roman" w:cs="times_new_roman"/>
          <w:kern w:val="0"/>
          <w:sz w:val="27"/>
          <w:szCs w:val="27"/>
          <w:u w:val="single"/>
        </w:rPr>
        <w:t xml:space="preserve"> 100.00</w:t>
      </w:r>
      <w:r>
        <w:rPr>
          <w:rFonts w:ascii="fang_song_gb2312" w:hAnsi="fang_song_gb2312" w:eastAsia="fang_song_gb2312" w:cs="fang_song_gb2312"/>
          <w:kern w:val="0"/>
          <w:sz w:val="27"/>
          <w:szCs w:val="27"/>
        </w:rPr>
        <w:t>%。其中：因公出国（境）费全年预算</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万元，支出决算</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万元，完成预算的</w:t>
      </w:r>
      <w:r>
        <w:rPr>
          <w:rFonts w:ascii="times_new_roman" w:hAnsi="times_new_roman" w:eastAsia="times_new_roman" w:cs="times_new_roman"/>
          <w:kern w:val="0"/>
          <w:sz w:val="27"/>
          <w:szCs w:val="27"/>
          <w:u w:val="single"/>
        </w:rPr>
        <w:t xml:space="preserve"> NaN</w:t>
      </w:r>
      <w:r>
        <w:rPr>
          <w:rFonts w:ascii="fang_song_gb2312" w:hAnsi="fang_song_gb2312" w:eastAsia="fang_song_gb2312" w:cs="fang_song_gb2312"/>
          <w:kern w:val="0"/>
          <w:sz w:val="27"/>
          <w:szCs w:val="27"/>
        </w:rPr>
        <w:t>%；公务用车购置及运行维护费全年预算</w:t>
      </w:r>
      <w:r>
        <w:rPr>
          <w:rFonts w:ascii="times_new_roman" w:hAnsi="times_new_roman" w:eastAsia="times_new_roman" w:cs="times_new_roman"/>
          <w:kern w:val="0"/>
          <w:sz w:val="27"/>
          <w:szCs w:val="27"/>
          <w:u w:val="single"/>
        </w:rPr>
        <w:t xml:space="preserve"> 0.64</w:t>
      </w:r>
      <w:r>
        <w:rPr>
          <w:rFonts w:ascii="fang_song_gb2312" w:hAnsi="fang_song_gb2312" w:eastAsia="fang_song_gb2312" w:cs="fang_song_gb2312"/>
          <w:kern w:val="0"/>
          <w:sz w:val="27"/>
          <w:szCs w:val="27"/>
        </w:rPr>
        <w:t>万元，支出决算</w:t>
      </w:r>
      <w:r>
        <w:rPr>
          <w:rFonts w:ascii="times_new_roman" w:hAnsi="times_new_roman" w:eastAsia="times_new_roman" w:cs="times_new_roman"/>
          <w:kern w:val="0"/>
          <w:sz w:val="27"/>
          <w:szCs w:val="27"/>
          <w:u w:val="single"/>
        </w:rPr>
        <w:t xml:space="preserve"> 0.64</w:t>
      </w:r>
      <w:r>
        <w:rPr>
          <w:rFonts w:ascii="fang_song_gb2312" w:hAnsi="fang_song_gb2312" w:eastAsia="fang_song_gb2312" w:cs="fang_song_gb2312"/>
          <w:kern w:val="0"/>
          <w:sz w:val="27"/>
          <w:szCs w:val="27"/>
        </w:rPr>
        <w:t>万元，完成预算的</w:t>
      </w:r>
      <w:r>
        <w:rPr>
          <w:rFonts w:ascii="times_new_roman" w:hAnsi="times_new_roman" w:eastAsia="times_new_roman" w:cs="times_new_roman"/>
          <w:kern w:val="0"/>
          <w:sz w:val="27"/>
          <w:szCs w:val="27"/>
          <w:u w:val="single"/>
        </w:rPr>
        <w:t xml:space="preserve"> 100.00</w:t>
      </w:r>
      <w:r>
        <w:rPr>
          <w:rFonts w:ascii="fang_song_gb2312" w:hAnsi="fang_song_gb2312" w:eastAsia="fang_song_gb2312" w:cs="fang_song_gb2312"/>
          <w:kern w:val="0"/>
          <w:sz w:val="27"/>
          <w:szCs w:val="27"/>
        </w:rPr>
        <w:t>%；公务接待费全年预算</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万元，支出决算</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万元，完成预算的</w:t>
      </w:r>
      <w:r>
        <w:rPr>
          <w:rFonts w:ascii="times_new_roman" w:hAnsi="times_new_roman" w:eastAsia="times_new_roman" w:cs="times_new_roman"/>
          <w:kern w:val="0"/>
          <w:sz w:val="27"/>
          <w:szCs w:val="27"/>
          <w:u w:val="single"/>
        </w:rPr>
        <w:t xml:space="preserve"> NaN</w:t>
      </w:r>
      <w:r>
        <w:rPr>
          <w:rFonts w:ascii="fang_song_gb2312" w:hAnsi="fang_song_gb2312" w:eastAsia="fang_song_gb2312" w:cs="fang_song_gb2312"/>
          <w:kern w:val="0"/>
          <w:sz w:val="27"/>
          <w:szCs w:val="27"/>
        </w:rPr>
        <w:t>%。2023年度一般公共预算财政拨款“三公”经费支出决算与预算差异原因……。</w:t>
      </w:r>
      <w:r>
        <w:rPr>
          <w:rFonts w:ascii="fang_song_gb2312" w:hAnsi="fang_song_gb2312" w:eastAsia="fang_song_gb2312" w:cs="fang_song_gb2312"/>
          <w:color w:val="0E00FE"/>
          <w:kern w:val="0"/>
          <w:sz w:val="27"/>
          <w:szCs w:val="27"/>
        </w:rPr>
        <w:t>（也可以分项说明差异原因）</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（二）财政拨款</w:t>
      </w:r>
      <w:r>
        <w:rPr>
          <w:rFonts w:ascii="kai_ti_gb2312" w:hAnsi="kai_ti_gb2312" w:eastAsia="kai_ti_gb2312" w:cs="kai_ti_gb2312"/>
          <w:b/>
          <w:bCs/>
          <w:kern w:val="0"/>
          <w:sz w:val="27"/>
          <w:szCs w:val="27"/>
        </w:rPr>
        <w:t>“</w:t>
      </w:r>
      <w:r>
        <w:rPr>
          <w:rFonts w:ascii="kai_ti_gb2312" w:hAnsi="kai_ti_gb2312" w:eastAsia="kai_ti_gb2312" w:cs="kai_ti_gb2312"/>
          <w:b/>
          <w:bCs/>
          <w:kern w:val="0"/>
          <w:sz w:val="27"/>
          <w:szCs w:val="27"/>
        </w:rPr>
        <w:t>三公</w:t>
      </w:r>
      <w:r>
        <w:rPr>
          <w:rFonts w:ascii="kai_ti_gb2312" w:hAnsi="kai_ti_gb2312" w:eastAsia="kai_ti_gb2312" w:cs="kai_ti_gb2312"/>
          <w:b/>
          <w:bCs/>
          <w:kern w:val="0"/>
          <w:sz w:val="27"/>
          <w:szCs w:val="27"/>
        </w:rPr>
        <w:t>”</w:t>
      </w:r>
      <w:r>
        <w:rPr>
          <w:rFonts w:ascii="kai_ti_gb2312" w:hAnsi="kai_ti_gb2312" w:eastAsia="kai_ti_gb2312" w:cs="kai_ti_gb2312"/>
          <w:b/>
          <w:bCs/>
          <w:kern w:val="0"/>
          <w:sz w:val="27"/>
          <w:szCs w:val="27"/>
        </w:rPr>
        <w:t>经费支出具体情况说明。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内蒙古自治区通辽市科学技术协会（部门）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年度财政拨款“三公”经费支出</w:t>
      </w:r>
      <w:r>
        <w:rPr>
          <w:rFonts w:ascii="times_new_roman" w:hAnsi="times_new_roman" w:eastAsia="times_new_roman" w:cs="times_new_roman"/>
          <w:kern w:val="0"/>
          <w:sz w:val="27"/>
          <w:szCs w:val="27"/>
          <w:u w:val="single"/>
        </w:rPr>
        <w:t xml:space="preserve"> 0.64</w:t>
      </w:r>
      <w:r>
        <w:rPr>
          <w:rFonts w:ascii="fang_song_gb2312" w:hAnsi="fang_song_gb2312" w:eastAsia="fang_song_gb2312" w:cs="fang_song_gb2312"/>
          <w:kern w:val="0"/>
          <w:sz w:val="27"/>
          <w:szCs w:val="27"/>
        </w:rPr>
        <w:t>万元。因公出国（境）费支出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%；公务用车购置及运行维护费支出</w:t>
      </w:r>
      <w:r>
        <w:rPr>
          <w:rFonts w:ascii="times_new_roman" w:hAnsi="times_new_roman" w:eastAsia="times_new_roman" w:cs="times_new_roman"/>
          <w:kern w:val="0"/>
          <w:sz w:val="27"/>
          <w:szCs w:val="27"/>
          <w:u w:val="single"/>
        </w:rPr>
        <w:t xml:space="preserve"> 0.64</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100.00</w:t>
      </w:r>
      <w:r>
        <w:rPr>
          <w:rFonts w:ascii="fang_song_gb2312" w:hAnsi="fang_song_gb2312" w:eastAsia="fang_song_gb2312" w:cs="fang_song_gb2312"/>
          <w:kern w:val="0"/>
          <w:sz w:val="27"/>
          <w:szCs w:val="27"/>
        </w:rPr>
        <w:t>%；公务接待费支出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万元，占</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%。其中：</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w:t>
      </w:r>
      <w:r>
        <w:rPr>
          <w:rFonts w:ascii="times_new_roman" w:hAnsi="times_new_roman" w:eastAsia="times_new_roman" w:cs="times_new_roman"/>
          <w:kern w:val="0"/>
          <w:sz w:val="27"/>
          <w:szCs w:val="27"/>
        </w:rPr>
        <w:t>1.</w:t>
      </w:r>
      <w:r>
        <w:rPr>
          <w:rFonts w:ascii="fang_song_gb2312" w:hAnsi="fang_song_gb2312" w:eastAsia="fang_song_gb2312" w:cs="fang_song_gb2312"/>
          <w:kern w:val="0"/>
          <w:sz w:val="27"/>
          <w:szCs w:val="27"/>
        </w:rPr>
        <w:t>因公出国（境）费支出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万元，全年出国（境）团组</w:t>
      </w:r>
      <w:r>
        <w:rPr>
          <w:rFonts w:ascii="times_new_roman" w:hAnsi="times_new_roman" w:eastAsia="times_new_roman" w:cs="times_new_roman"/>
          <w:kern w:val="0"/>
          <w:sz w:val="27"/>
          <w:szCs w:val="27"/>
          <w:u w:val="single"/>
        </w:rPr>
        <w:t xml:space="preserve">0 </w:t>
      </w:r>
      <w:r>
        <w:rPr>
          <w:rFonts w:ascii="fang_song_gb2312" w:hAnsi="fang_song_gb2312" w:eastAsia="fang_song_gb2312" w:cs="fang_song_gb2312"/>
          <w:kern w:val="0"/>
          <w:sz w:val="27"/>
          <w:szCs w:val="27"/>
        </w:rPr>
        <w:t>个，累计</w:t>
      </w:r>
      <w:r>
        <w:rPr>
          <w:rFonts w:ascii="times_new_roman" w:hAnsi="times_new_roman" w:eastAsia="times_new_roman" w:cs="times_new_roman"/>
          <w:kern w:val="0"/>
          <w:sz w:val="27"/>
          <w:szCs w:val="27"/>
          <w:u w:val="single"/>
        </w:rPr>
        <w:t xml:space="preserve">0 </w:t>
      </w:r>
      <w:r>
        <w:rPr>
          <w:rFonts w:ascii="fang_song_gb2312" w:hAnsi="fang_song_gb2312" w:eastAsia="fang_song_gb2312" w:cs="fang_song_gb2312"/>
          <w:kern w:val="0"/>
          <w:sz w:val="27"/>
          <w:szCs w:val="27"/>
        </w:rPr>
        <w:t>人次。与上年决算相比，增加（减少）</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万元，增长（减少）</w:t>
      </w:r>
      <w:r>
        <w:rPr>
          <w:rFonts w:ascii="times_new_roman" w:hAnsi="times_new_roman" w:eastAsia="times_new_roman" w:cs="times_new_roman"/>
          <w:kern w:val="0"/>
          <w:sz w:val="27"/>
          <w:szCs w:val="27"/>
          <w:u w:val="single"/>
        </w:rPr>
        <w:t xml:space="preserve"> NaN</w:t>
      </w:r>
      <w:r>
        <w:rPr>
          <w:rFonts w:ascii="fang_song_gb2312" w:hAnsi="fang_song_gb2312" w:eastAsia="fang_song_gb2312" w:cs="fang_song_gb2312"/>
          <w:kern w:val="0"/>
          <w:sz w:val="27"/>
          <w:szCs w:val="27"/>
        </w:rPr>
        <w:t>%，变动原因：……。</w:t>
      </w:r>
    </w:p>
    <w:p>
      <w:pPr>
        <w:widowControl/>
        <w:spacing w:before="240" w:after="240"/>
        <w:rPr>
          <w:rFonts w:ascii="Times New Roman" w:hAnsi="Times New Roman" w:eastAsia="Times New Roman" w:cs="Times New Roman"/>
          <w:kern w:val="0"/>
          <w:sz w:val="24"/>
        </w:rPr>
      </w:pPr>
      <w:r>
        <w:rPr>
          <w:rFonts w:ascii="times_new_roman" w:hAnsi="times_new_roman" w:eastAsia="times_new_roman" w:cs="times_new_roman"/>
          <w:kern w:val="0"/>
          <w:sz w:val="27"/>
          <w:szCs w:val="27"/>
        </w:rPr>
        <w:t>    2.</w:t>
      </w:r>
      <w:r>
        <w:rPr>
          <w:rFonts w:ascii="fang_song_gb2312" w:hAnsi="fang_song_gb2312" w:eastAsia="fang_song_gb2312" w:cs="fang_song_gb2312"/>
          <w:kern w:val="0"/>
          <w:sz w:val="27"/>
          <w:szCs w:val="27"/>
        </w:rPr>
        <w:t>公务用车购置及运行维护费支出</w:t>
      </w:r>
      <w:r>
        <w:rPr>
          <w:rFonts w:ascii="times_new_roman" w:hAnsi="times_new_roman" w:eastAsia="times_new_roman" w:cs="times_new_roman"/>
          <w:kern w:val="0"/>
          <w:sz w:val="27"/>
          <w:szCs w:val="27"/>
          <w:u w:val="single"/>
        </w:rPr>
        <w:t xml:space="preserve"> 0.64</w:t>
      </w:r>
      <w:r>
        <w:rPr>
          <w:rFonts w:ascii="fang_song_gb2312" w:hAnsi="fang_song_gb2312" w:eastAsia="fang_song_gb2312" w:cs="fang_song_gb2312"/>
          <w:kern w:val="0"/>
          <w:sz w:val="27"/>
          <w:szCs w:val="27"/>
        </w:rPr>
        <w:t>万元。其中：</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（1）公务用车购置支出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万元。本年度使用财政拨款购置公务用车</w:t>
      </w:r>
      <w:r>
        <w:rPr>
          <w:rFonts w:ascii="times_new_roman" w:hAnsi="times_new_roman" w:eastAsia="times_new_roman" w:cs="times_new_roman"/>
          <w:kern w:val="0"/>
          <w:sz w:val="27"/>
          <w:szCs w:val="27"/>
          <w:u w:val="single"/>
        </w:rPr>
        <w:t xml:space="preserve">0 </w:t>
      </w:r>
      <w:r>
        <w:rPr>
          <w:rFonts w:ascii="fang_song_gb2312" w:hAnsi="fang_song_gb2312" w:eastAsia="fang_song_gb2312" w:cs="fang_song_gb2312"/>
          <w:kern w:val="0"/>
          <w:sz w:val="27"/>
          <w:szCs w:val="27"/>
        </w:rPr>
        <w:t>辆，开支内容：……。与上年决算相比，增加（减少）</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万元，增长（减少）</w:t>
      </w:r>
      <w:r>
        <w:rPr>
          <w:rFonts w:ascii="times_new_roman" w:hAnsi="times_new_roman" w:eastAsia="times_new_roman" w:cs="times_new_roman"/>
          <w:kern w:val="0"/>
          <w:sz w:val="27"/>
          <w:szCs w:val="27"/>
          <w:u w:val="single"/>
        </w:rPr>
        <w:t xml:space="preserve"> NaN</w:t>
      </w:r>
      <w:r>
        <w:rPr>
          <w:rFonts w:ascii="fang_song_gb2312" w:hAnsi="fang_song_gb2312" w:eastAsia="fang_song_gb2312" w:cs="fang_song_gb2312"/>
          <w:kern w:val="0"/>
          <w:sz w:val="27"/>
          <w:szCs w:val="27"/>
        </w:rPr>
        <w:t>%，变动原因：……。</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（2）公务用车运行维护费支出</w:t>
      </w:r>
      <w:r>
        <w:rPr>
          <w:rFonts w:ascii="times_new_roman" w:hAnsi="times_new_roman" w:eastAsia="times_new_roman" w:cs="times_new_roman"/>
          <w:kern w:val="0"/>
          <w:sz w:val="27"/>
          <w:szCs w:val="27"/>
          <w:u w:val="single"/>
        </w:rPr>
        <w:t xml:space="preserve"> 0.64</w:t>
      </w:r>
      <w:r>
        <w:rPr>
          <w:rFonts w:ascii="fang_song_gb2312" w:hAnsi="fang_song_gb2312" w:eastAsia="fang_song_gb2312" w:cs="fang_song_gb2312"/>
          <w:kern w:val="0"/>
          <w:sz w:val="27"/>
          <w:szCs w:val="27"/>
        </w:rPr>
        <w:t>万元。公务用车运行维护费主要用于按规定保留的公务用车的燃料费、维修费、过桥过路费、保险费、安全奖励费用等支出。截至</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w:t>
      </w:r>
      <w:r>
        <w:rPr>
          <w:rFonts w:ascii="times_new_roman" w:hAnsi="times_new_roman" w:eastAsia="times_new_roman" w:cs="times_new_roman"/>
          <w:kern w:val="0"/>
          <w:sz w:val="27"/>
          <w:szCs w:val="27"/>
        </w:rPr>
        <w:t>12</w:t>
      </w:r>
      <w:r>
        <w:rPr>
          <w:rFonts w:ascii="fang_song_gb2312" w:hAnsi="fang_song_gb2312" w:eastAsia="fang_song_gb2312" w:cs="fang_song_gb2312"/>
          <w:kern w:val="0"/>
          <w:sz w:val="27"/>
          <w:szCs w:val="27"/>
        </w:rPr>
        <w:t>月</w:t>
      </w:r>
      <w:r>
        <w:rPr>
          <w:rFonts w:ascii="times_new_roman" w:hAnsi="times_new_roman" w:eastAsia="times_new_roman" w:cs="times_new_roman"/>
          <w:kern w:val="0"/>
          <w:sz w:val="27"/>
          <w:szCs w:val="27"/>
        </w:rPr>
        <w:t>31</w:t>
      </w:r>
      <w:r>
        <w:rPr>
          <w:rFonts w:ascii="fang_song_gb2312" w:hAnsi="fang_song_gb2312" w:eastAsia="fang_song_gb2312" w:cs="fang_song_gb2312"/>
          <w:kern w:val="0"/>
          <w:sz w:val="27"/>
          <w:szCs w:val="27"/>
        </w:rPr>
        <w:t>日，使用财政拨款开支的公务用车保有量为</w:t>
      </w:r>
      <w:r>
        <w:rPr>
          <w:rFonts w:ascii="times_new_roman" w:hAnsi="times_new_roman" w:eastAsia="times_new_roman" w:cs="times_new_roman"/>
          <w:kern w:val="0"/>
          <w:sz w:val="27"/>
          <w:szCs w:val="27"/>
          <w:u w:val="single"/>
        </w:rPr>
        <w:t xml:space="preserve">2 </w:t>
      </w:r>
      <w:r>
        <w:rPr>
          <w:rFonts w:ascii="fang_song_gb2312" w:hAnsi="fang_song_gb2312" w:eastAsia="fang_song_gb2312" w:cs="fang_song_gb2312"/>
          <w:kern w:val="0"/>
          <w:sz w:val="27"/>
          <w:szCs w:val="27"/>
        </w:rPr>
        <w:t>辆。与上年决算相比，增加（减少）</w:t>
      </w:r>
      <w:r>
        <w:rPr>
          <w:rFonts w:ascii="fang_song_gb2312" w:hAnsi="fang_song_gb2312" w:eastAsia="fang_song_gb2312" w:cs="fang_song_gb2312"/>
          <w:kern w:val="0"/>
          <w:sz w:val="27"/>
          <w:szCs w:val="27"/>
          <w:u w:val="single"/>
        </w:rPr>
        <w:t xml:space="preserve"> </w:t>
      </w:r>
      <w:r>
        <w:rPr>
          <w:rFonts w:ascii="times_new_roman" w:hAnsi="times_new_roman" w:eastAsia="times_new_roman" w:cs="times_new_roman"/>
          <w:kern w:val="0"/>
          <w:sz w:val="27"/>
          <w:szCs w:val="27"/>
          <w:u w:val="single"/>
        </w:rPr>
        <w:t>0.64</w:t>
      </w:r>
      <w:r>
        <w:rPr>
          <w:rFonts w:ascii="fang_song_gb2312" w:hAnsi="fang_song_gb2312" w:eastAsia="fang_song_gb2312" w:cs="fang_song_gb2312"/>
          <w:kern w:val="0"/>
          <w:sz w:val="27"/>
          <w:szCs w:val="27"/>
        </w:rPr>
        <w:t>万元，增长（减少）</w:t>
      </w:r>
      <w:r>
        <w:rPr>
          <w:rFonts w:ascii="times_new_roman" w:hAnsi="times_new_roman" w:eastAsia="times_new_roman" w:cs="times_new_roman"/>
          <w:kern w:val="0"/>
          <w:sz w:val="27"/>
          <w:szCs w:val="27"/>
          <w:u w:val="single"/>
        </w:rPr>
        <w:t xml:space="preserve"> Infinity</w:t>
      </w:r>
      <w:r>
        <w:rPr>
          <w:rFonts w:ascii="fang_song_gb2312" w:hAnsi="fang_song_gb2312" w:eastAsia="fang_song_gb2312" w:cs="fang_song_gb2312"/>
          <w:kern w:val="0"/>
          <w:sz w:val="27"/>
          <w:szCs w:val="27"/>
        </w:rPr>
        <w:t>%，变动原因：……。</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3.公务接待费支出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万元。其中：国内公务接待支出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万元，接待</w:t>
      </w:r>
      <w:r>
        <w:rPr>
          <w:rFonts w:ascii="times_new_roman" w:hAnsi="times_new_roman" w:eastAsia="times_new_roman" w:cs="times_new_roman"/>
          <w:kern w:val="0"/>
          <w:sz w:val="27"/>
          <w:szCs w:val="27"/>
          <w:u w:val="single"/>
        </w:rPr>
        <w:t xml:space="preserve">0 </w:t>
      </w:r>
      <w:r>
        <w:rPr>
          <w:rFonts w:ascii="fang_song_gb2312" w:hAnsi="fang_song_gb2312" w:eastAsia="fang_song_gb2312" w:cs="fang_song_gb2312"/>
          <w:kern w:val="0"/>
          <w:sz w:val="27"/>
          <w:szCs w:val="27"/>
        </w:rPr>
        <w:t>批次，</w:t>
      </w:r>
      <w:r>
        <w:rPr>
          <w:rFonts w:ascii="times_new_roman" w:hAnsi="times_new_roman" w:eastAsia="times_new_roman" w:cs="times_new_roman"/>
          <w:kern w:val="0"/>
          <w:sz w:val="27"/>
          <w:szCs w:val="27"/>
          <w:u w:val="single"/>
        </w:rPr>
        <w:t xml:space="preserve">0 </w:t>
      </w:r>
      <w:r>
        <w:rPr>
          <w:rFonts w:ascii="fang_song_gb2312" w:hAnsi="fang_song_gb2312" w:eastAsia="fang_song_gb2312" w:cs="fang_song_gb2312"/>
          <w:kern w:val="0"/>
          <w:sz w:val="27"/>
          <w:szCs w:val="27"/>
        </w:rPr>
        <w:t>人次，开支内容：……；国（境）外公务接待支出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万元，接待</w:t>
      </w:r>
      <w:r>
        <w:rPr>
          <w:rFonts w:ascii="times_new_roman" w:hAnsi="times_new_roman" w:eastAsia="times_new_roman" w:cs="times_new_roman"/>
          <w:kern w:val="0"/>
          <w:sz w:val="27"/>
          <w:szCs w:val="27"/>
          <w:u w:val="single"/>
        </w:rPr>
        <w:t xml:space="preserve">0 </w:t>
      </w:r>
      <w:r>
        <w:rPr>
          <w:rFonts w:ascii="fang_song_gb2312" w:hAnsi="fang_song_gb2312" w:eastAsia="fang_song_gb2312" w:cs="fang_song_gb2312"/>
          <w:kern w:val="0"/>
          <w:sz w:val="27"/>
          <w:szCs w:val="27"/>
        </w:rPr>
        <w:t>批次，</w:t>
      </w:r>
      <w:r>
        <w:rPr>
          <w:rFonts w:ascii="times_new_roman" w:hAnsi="times_new_roman" w:eastAsia="times_new_roman" w:cs="times_new_roman"/>
          <w:kern w:val="0"/>
          <w:sz w:val="27"/>
          <w:szCs w:val="27"/>
          <w:u w:val="single"/>
        </w:rPr>
        <w:t xml:space="preserve">0 </w:t>
      </w:r>
      <w:r>
        <w:rPr>
          <w:rFonts w:ascii="fang_song_gb2312" w:hAnsi="fang_song_gb2312" w:eastAsia="fang_song_gb2312" w:cs="fang_song_gb2312"/>
          <w:kern w:val="0"/>
          <w:sz w:val="27"/>
          <w:szCs w:val="27"/>
        </w:rPr>
        <w:t>人次，开支内容：……。与上年决算相比，增加（减少）</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万元，增长（减少）</w:t>
      </w:r>
      <w:r>
        <w:rPr>
          <w:rFonts w:ascii="times_new_roman" w:hAnsi="times_new_roman" w:eastAsia="times_new_roman" w:cs="times_new_roman"/>
          <w:kern w:val="0"/>
          <w:sz w:val="27"/>
          <w:szCs w:val="27"/>
          <w:u w:val="single"/>
        </w:rPr>
        <w:t xml:space="preserve"> NaN</w:t>
      </w:r>
      <w:r>
        <w:rPr>
          <w:rFonts w:ascii="fang_song_gb2312" w:hAnsi="fang_song_gb2312" w:eastAsia="fang_song_gb2312" w:cs="fang_song_gb2312"/>
          <w:kern w:val="0"/>
          <w:sz w:val="27"/>
          <w:szCs w:val="27"/>
        </w:rPr>
        <w:t>%，变动原因：……。</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（按“公开</w:t>
      </w:r>
      <w:r>
        <w:rPr>
          <w:rFonts w:ascii="times_new_roman" w:hAnsi="times_new_roman" w:eastAsia="times_new_roman" w:cs="times_new_roman"/>
          <w:color w:val="0E00FE"/>
          <w:kern w:val="0"/>
          <w:sz w:val="27"/>
          <w:szCs w:val="27"/>
        </w:rPr>
        <w:t>10</w:t>
      </w:r>
      <w:r>
        <w:rPr>
          <w:rFonts w:ascii="fang_song_gb2312" w:hAnsi="fang_song_gb2312" w:eastAsia="fang_song_gb2312" w:cs="fang_song_gb2312"/>
          <w:color w:val="0E00FE"/>
          <w:kern w:val="0"/>
          <w:sz w:val="27"/>
          <w:szCs w:val="27"/>
        </w:rPr>
        <w:t>表财政拨款“三公”经费支出决算表”中支出金额及数额填写）</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特别强调</w:t>
      </w:r>
      <w:r>
        <w:rPr>
          <w:rFonts w:ascii="times_new_roman" w:hAnsi="times_new_roman" w:eastAsia="times_new_roman" w:cs="times_new_roman"/>
          <w:color w:val="0E00FE"/>
          <w:kern w:val="0"/>
          <w:sz w:val="27"/>
          <w:szCs w:val="27"/>
        </w:rPr>
        <w:t>1</w:t>
      </w:r>
      <w:r>
        <w:rPr>
          <w:rFonts w:ascii="fang_song_gb2312" w:hAnsi="fang_song_gb2312" w:eastAsia="fang_song_gb2312" w:cs="fang_song_gb2312"/>
          <w:color w:val="0E00FE"/>
          <w:kern w:val="0"/>
          <w:sz w:val="27"/>
          <w:szCs w:val="27"/>
        </w:rPr>
        <w:t>：上述数据逻辑要合理，例如国内公务接待支出有数额时，接待批次要有数量，同时要有接待人次。</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特别强调</w:t>
      </w:r>
      <w:r>
        <w:rPr>
          <w:rFonts w:ascii="times_new_roman" w:hAnsi="times_new_roman" w:eastAsia="times_new_roman" w:cs="times_new_roman"/>
          <w:color w:val="0E00FE"/>
          <w:kern w:val="0"/>
          <w:sz w:val="27"/>
          <w:szCs w:val="27"/>
        </w:rPr>
        <w:t>2</w:t>
      </w:r>
      <w:r>
        <w:rPr>
          <w:rFonts w:ascii="fang_song_gb2312" w:hAnsi="fang_song_gb2312" w:eastAsia="fang_song_gb2312" w:cs="fang_song_gb2312"/>
          <w:color w:val="0E00FE"/>
          <w:kern w:val="0"/>
          <w:sz w:val="27"/>
          <w:szCs w:val="27"/>
        </w:rPr>
        <w:t>：“三公”经费如合计为零也要分别填列说明。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特别强调</w:t>
      </w:r>
      <w:r>
        <w:rPr>
          <w:rFonts w:ascii="times_new_roman" w:hAnsi="times_new_roman" w:eastAsia="times_new_roman" w:cs="times_new_roman"/>
          <w:color w:val="0E00FE"/>
          <w:kern w:val="0"/>
          <w:sz w:val="27"/>
          <w:szCs w:val="27"/>
        </w:rPr>
        <w:t>3</w:t>
      </w:r>
      <w:r>
        <w:rPr>
          <w:rFonts w:ascii="fang_song_gb2312" w:hAnsi="fang_song_gb2312" w:eastAsia="fang_song_gb2312" w:cs="fang_song_gb2312"/>
          <w:color w:val="0E00FE"/>
          <w:kern w:val="0"/>
          <w:sz w:val="27"/>
          <w:szCs w:val="27"/>
        </w:rPr>
        <w:t>：报告数据要与报表保持一致。例如“公务用车保有量”、“公务用车购置数”等。</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特别强调</w:t>
      </w:r>
      <w:r>
        <w:rPr>
          <w:rFonts w:ascii="times_new_roman" w:hAnsi="times_new_roman" w:eastAsia="times_new_roman" w:cs="times_new_roman"/>
          <w:color w:val="0E00FE"/>
          <w:kern w:val="0"/>
          <w:sz w:val="27"/>
          <w:szCs w:val="27"/>
        </w:rPr>
        <w:t>4</w:t>
      </w:r>
      <w:r>
        <w:rPr>
          <w:rFonts w:ascii="fang_song_gb2312" w:hAnsi="fang_song_gb2312" w:eastAsia="fang_song_gb2312" w:cs="fang_song_gb2312"/>
          <w:color w:val="0E00FE"/>
          <w:kern w:val="0"/>
          <w:sz w:val="27"/>
          <w:szCs w:val="27"/>
        </w:rPr>
        <w:t>：“公开10表财政拨款“三公”经费支出决算表”中一般公共预算财政拨款“三公”经费支出的年初预算数（第</w:t>
      </w:r>
      <w:r>
        <w:rPr>
          <w:rFonts w:ascii="times_new_roman" w:hAnsi="times_new_roman" w:eastAsia="times_new_roman" w:cs="times_new_roman"/>
          <w:color w:val="0E00FE"/>
          <w:kern w:val="0"/>
          <w:sz w:val="27"/>
          <w:szCs w:val="27"/>
        </w:rPr>
        <w:t>4</w:t>
      </w:r>
      <w:r>
        <w:rPr>
          <w:rFonts w:ascii="fang_song_gb2312" w:hAnsi="fang_song_gb2312" w:eastAsia="fang_song_gb2312" w:cs="fang_song_gb2312"/>
          <w:color w:val="0E00FE"/>
          <w:kern w:val="0"/>
          <w:sz w:val="27"/>
          <w:szCs w:val="27"/>
        </w:rPr>
        <w:t>列）、全年预算数</w:t>
      </w:r>
      <w:r>
        <w:rPr>
          <w:rFonts w:ascii="fang_song_gb2312" w:hAnsi="fang_song_gb2312" w:eastAsia="fang_song_gb2312" w:cs="fang_song_gb2312"/>
          <w:kern w:val="0"/>
          <w:sz w:val="27"/>
          <w:szCs w:val="27"/>
        </w:rPr>
        <w:t>（第</w:t>
      </w:r>
      <w:r>
        <w:rPr>
          <w:rFonts w:ascii="times_new_roman" w:hAnsi="times_new_roman" w:eastAsia="times_new_roman" w:cs="times_new_roman"/>
          <w:kern w:val="0"/>
          <w:sz w:val="27"/>
          <w:szCs w:val="27"/>
        </w:rPr>
        <w:t>5</w:t>
      </w:r>
      <w:r>
        <w:rPr>
          <w:rFonts w:ascii="fang_song_gb2312" w:hAnsi="fang_song_gb2312" w:eastAsia="fang_song_gb2312" w:cs="fang_song_gb2312"/>
          <w:kern w:val="0"/>
          <w:sz w:val="27"/>
          <w:szCs w:val="27"/>
        </w:rPr>
        <w:t>列）</w:t>
      </w:r>
      <w:r>
        <w:rPr>
          <w:rFonts w:ascii="fang_song_gb2312" w:hAnsi="fang_song_gb2312" w:eastAsia="fang_song_gb2312" w:cs="fang_song_gb2312"/>
          <w:kern w:val="0"/>
          <w:sz w:val="27"/>
          <w:szCs w:val="27"/>
        </w:rPr>
        <w:t>、支出统计数</w:t>
      </w:r>
      <w:r>
        <w:rPr>
          <w:rFonts w:ascii="fang_song_gb2312" w:hAnsi="fang_song_gb2312" w:eastAsia="fang_song_gb2312" w:cs="fang_song_gb2312"/>
          <w:kern w:val="0"/>
          <w:sz w:val="27"/>
          <w:szCs w:val="27"/>
        </w:rPr>
        <w:t>（第</w:t>
      </w:r>
      <w:r>
        <w:rPr>
          <w:rFonts w:ascii="times_new_roman" w:hAnsi="times_new_roman" w:eastAsia="times_new_roman" w:cs="times_new_roman"/>
          <w:kern w:val="0"/>
          <w:sz w:val="27"/>
          <w:szCs w:val="27"/>
        </w:rPr>
        <w:t>6</w:t>
      </w:r>
      <w:r>
        <w:rPr>
          <w:rFonts w:ascii="fang_song_gb2312" w:hAnsi="fang_song_gb2312" w:eastAsia="fang_song_gb2312" w:cs="fang_song_gb2312"/>
          <w:kern w:val="0"/>
          <w:sz w:val="27"/>
          <w:szCs w:val="27"/>
        </w:rPr>
        <w:t>列）</w:t>
      </w:r>
      <w:r>
        <w:rPr>
          <w:rFonts w:ascii="fang_song_gb2312" w:hAnsi="fang_song_gb2312" w:eastAsia="fang_song_gb2312" w:cs="fang_song_gb2312"/>
          <w:kern w:val="0"/>
          <w:sz w:val="27"/>
          <w:szCs w:val="27"/>
        </w:rPr>
        <w:t>以及相关统计数由部门（单位）填写，并对真实性、准确性负责。</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SimHei" w:hAnsi="SimHei" w:eastAsia="SimHei" w:cs="SimHei"/>
          <w:b/>
          <w:bCs/>
          <w:kern w:val="0"/>
          <w:sz w:val="27"/>
          <w:szCs w:val="27"/>
        </w:rPr>
        <w:t xml:space="preserve"> </w:t>
      </w:r>
      <w:r>
        <w:rPr>
          <w:rFonts w:ascii="Calibri" w:hAnsi="Calibri" w:eastAsia="Calibri" w:cs="Calibri"/>
          <w:b/>
          <w:bCs/>
          <w:kern w:val="0"/>
          <w:sz w:val="27"/>
          <w:szCs w:val="27"/>
        </w:rPr>
        <w:t> </w:t>
      </w:r>
      <w:r>
        <w:rPr>
          <w:rFonts w:ascii="SimHei" w:hAnsi="SimHei" w:eastAsia="SimHei" w:cs="SimHei"/>
          <w:b/>
          <w:bCs/>
          <w:kern w:val="0"/>
          <w:sz w:val="27"/>
          <w:szCs w:val="27"/>
        </w:rPr>
        <w:t xml:space="preserve"> 九、</w:t>
      </w:r>
      <w:r>
        <w:rPr>
          <w:rFonts w:ascii="SimHei" w:hAnsi="SimHei" w:eastAsia="SimHei" w:cs="SimHei"/>
          <w:b/>
          <w:bCs/>
          <w:kern w:val="0"/>
          <w:sz w:val="27"/>
          <w:szCs w:val="27"/>
        </w:rPr>
        <w:t>政府性基金预算财政拨款支出决算情况说明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（反映部门（单位）年度政府性基金预算财政拨款支出决算情况。政府性基金预算财政拨款支出决算数应与“公开</w:t>
      </w:r>
      <w:r>
        <w:rPr>
          <w:rFonts w:ascii="times_new_roman" w:hAnsi="times_new_roman" w:eastAsia="times_new_roman" w:cs="times_new_roman"/>
          <w:color w:val="0E00FE"/>
          <w:kern w:val="0"/>
          <w:sz w:val="27"/>
          <w:szCs w:val="27"/>
        </w:rPr>
        <w:t>08</w:t>
      </w:r>
      <w:r>
        <w:rPr>
          <w:rFonts w:ascii="fang_song_gb2312" w:hAnsi="fang_song_gb2312" w:eastAsia="fang_song_gb2312" w:cs="fang_song_gb2312"/>
          <w:color w:val="0E00FE"/>
          <w:kern w:val="0"/>
          <w:sz w:val="27"/>
          <w:szCs w:val="27"/>
        </w:rPr>
        <w:t>表政府性基金预算财政拨款收入支出决算表”的本年支出决算数一致，并按政府收支分类科目的功能分类“项”级细化列示。）</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内蒙古自治区通辽市科学技术协会（部门）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年度政府性基金预算财政拨款支出决算</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万元。与上年决算相比，增加（减少）</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万元，增长（减少）</w:t>
      </w:r>
      <w:r>
        <w:rPr>
          <w:rFonts w:ascii="times_new_roman" w:hAnsi="times_new_roman" w:eastAsia="times_new_roman" w:cs="times_new_roman"/>
          <w:kern w:val="0"/>
          <w:sz w:val="27"/>
          <w:szCs w:val="27"/>
          <w:u w:val="single"/>
        </w:rPr>
        <w:t xml:space="preserve"> NaN</w:t>
      </w:r>
      <w:r>
        <w:rPr>
          <w:rFonts w:ascii="fang_song_gb2312" w:hAnsi="fang_song_gb2312" w:eastAsia="fang_song_gb2312" w:cs="fang_song_gb2312"/>
          <w:kern w:val="0"/>
          <w:sz w:val="27"/>
          <w:szCs w:val="27"/>
        </w:rPr>
        <w:t>%，变动原因：……。其中：</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（一）城乡社区支出（类）政府住房基金及对应专项债务收入安排的支出（款）管理费用支出（项）支出</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万元，主要用于……。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（二）……</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（若不涉及政府性基金预算财政拨款支出，上述总体情况也应说明，只是数据填列为“</w:t>
      </w:r>
      <w:r>
        <w:rPr>
          <w:rFonts w:ascii="times_new_roman" w:hAnsi="times_new_roman" w:eastAsia="times_new_roman" w:cs="times_new_roman"/>
          <w:color w:val="0E00FE"/>
          <w:kern w:val="0"/>
          <w:sz w:val="27"/>
          <w:szCs w:val="27"/>
        </w:rPr>
        <w:t>0</w:t>
      </w:r>
      <w:r>
        <w:rPr>
          <w:rFonts w:ascii="fang_song_gb2312" w:hAnsi="fang_song_gb2312" w:eastAsia="fang_song_gb2312" w:cs="fang_song_gb2312"/>
          <w:color w:val="0E00FE"/>
          <w:kern w:val="0"/>
          <w:sz w:val="27"/>
          <w:szCs w:val="27"/>
        </w:rPr>
        <w:t>”，同时在“变动原因”处说明“本年无政府性基金预算财政拨款收、支、余。”或“本部门（单位）无政府性基金预算财政拨款收、支、余。”）</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SimHei" w:hAnsi="SimHei" w:eastAsia="SimHei" w:cs="SimHei"/>
          <w:b/>
          <w:bCs/>
          <w:kern w:val="0"/>
          <w:sz w:val="27"/>
          <w:szCs w:val="27"/>
        </w:rPr>
        <w:t xml:space="preserve"> </w:t>
      </w:r>
      <w:r>
        <w:rPr>
          <w:rFonts w:ascii="Calibri" w:hAnsi="Calibri" w:eastAsia="Calibri" w:cs="Calibri"/>
          <w:b/>
          <w:bCs/>
          <w:kern w:val="0"/>
          <w:sz w:val="27"/>
          <w:szCs w:val="27"/>
        </w:rPr>
        <w:t> </w:t>
      </w:r>
      <w:r>
        <w:rPr>
          <w:rFonts w:ascii="SimHei" w:hAnsi="SimHei" w:eastAsia="SimHei" w:cs="SimHei"/>
          <w:b/>
          <w:bCs/>
          <w:kern w:val="0"/>
          <w:sz w:val="27"/>
          <w:szCs w:val="27"/>
        </w:rPr>
        <w:t xml:space="preserve"> 十、</w:t>
      </w:r>
      <w:r>
        <w:rPr>
          <w:rFonts w:ascii="SimHei" w:hAnsi="SimHei" w:eastAsia="SimHei" w:cs="SimHei"/>
          <w:b/>
          <w:bCs/>
          <w:kern w:val="0"/>
          <w:sz w:val="27"/>
          <w:szCs w:val="27"/>
        </w:rPr>
        <w:t>国有资本经营预算财政拨款支出决算情况说明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反映部门（单位）年度国有资本经营预算财政拨款支出决算情况。国有资本经营预算财政拨款支出决算数应与“公开01表收入支出决算总表”的“国有资本经营预算支出”决算数及“公开09表国有资本经营预算财政拨款支出决算表”的本年支出数一致，并按政府收支分类科目的功能分类“项”级细化列示。）</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内蒙古自治区通辽市科学技术协会（部门）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年度国有资本经营预算财政拨款支出决算</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万元。与上年决算相比，增加（减少）</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万元，增长（减少）</w:t>
      </w:r>
      <w:r>
        <w:rPr>
          <w:rFonts w:ascii="times_new_roman" w:hAnsi="times_new_roman" w:eastAsia="times_new_roman" w:cs="times_new_roman"/>
          <w:kern w:val="0"/>
          <w:sz w:val="27"/>
          <w:szCs w:val="27"/>
          <w:u w:val="single"/>
        </w:rPr>
        <w:t xml:space="preserve"> NaN</w:t>
      </w:r>
      <w:r>
        <w:rPr>
          <w:rFonts w:ascii="fang_song_gb2312" w:hAnsi="fang_song_gb2312" w:eastAsia="fang_song_gb2312" w:cs="fang_song_gb2312"/>
          <w:kern w:val="0"/>
          <w:sz w:val="27"/>
          <w:szCs w:val="27"/>
        </w:rPr>
        <w:t>%，变动原因：……。其中：</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（一）国有资本经营预算支出（类）解决历史遗留问题及改革成本支出（款）“三供一业”移交补助支出（项）支出</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万元，主要用于……。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（二）……</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（若不涉及国有资本经营预算财政拨款支出，上述总体情况也应说明，只是数据填列为“</w:t>
      </w:r>
      <w:r>
        <w:rPr>
          <w:rFonts w:ascii="times_new_roman" w:hAnsi="times_new_roman" w:eastAsia="times_new_roman" w:cs="times_new_roman"/>
          <w:color w:val="0E00FE"/>
          <w:kern w:val="0"/>
          <w:sz w:val="27"/>
          <w:szCs w:val="27"/>
        </w:rPr>
        <w:t>0</w:t>
      </w:r>
      <w:r>
        <w:rPr>
          <w:rFonts w:ascii="fang_song_gb2312" w:hAnsi="fang_song_gb2312" w:eastAsia="fang_song_gb2312" w:cs="fang_song_gb2312"/>
          <w:color w:val="0E00FE"/>
          <w:kern w:val="0"/>
          <w:sz w:val="27"/>
          <w:szCs w:val="27"/>
        </w:rPr>
        <w:t>”，同时在“变动原因”处说明“本年无国有资本经营预算财政拨款收、支、余。”或“本部门（单位）无国有资本经营预算财政拨款收、支、余。”）</w:t>
      </w:r>
    </w:p>
    <w:p>
      <w:pPr>
        <w:widowControl/>
        <w:spacing w:before="240" w:after="240"/>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SimHei" w:hAnsi="SimHei" w:eastAsia="SimHei" w:cs="SimHei"/>
          <w:b/>
          <w:bCs/>
          <w:kern w:val="0"/>
          <w:sz w:val="27"/>
          <w:szCs w:val="27"/>
        </w:rPr>
        <w:t xml:space="preserve"> </w:t>
      </w:r>
      <w:r>
        <w:rPr>
          <w:rFonts w:ascii="Calibri" w:hAnsi="Calibri" w:eastAsia="Calibri" w:cs="Calibri"/>
          <w:b/>
          <w:bCs/>
          <w:kern w:val="0"/>
          <w:sz w:val="27"/>
          <w:szCs w:val="27"/>
        </w:rPr>
        <w:t> </w:t>
      </w:r>
      <w:r>
        <w:rPr>
          <w:rFonts w:ascii="SimHei" w:hAnsi="SimHei" w:eastAsia="SimHei" w:cs="SimHei"/>
          <w:b/>
          <w:bCs/>
          <w:kern w:val="0"/>
          <w:sz w:val="27"/>
          <w:szCs w:val="27"/>
        </w:rPr>
        <w:t xml:space="preserve"> 十一、</w:t>
      </w:r>
      <w:r>
        <w:rPr>
          <w:rFonts w:ascii="SimHei" w:hAnsi="SimHei" w:eastAsia="SimHei" w:cs="SimHei"/>
          <w:b/>
          <w:bCs/>
          <w:kern w:val="0"/>
          <w:sz w:val="27"/>
          <w:szCs w:val="27"/>
        </w:rPr>
        <w:t>机构运行经费支出决算情况说明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内蒙古自治区通辽市科学技术协会（部门）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年度机构运行经费支出决算</w:t>
      </w:r>
      <w:r>
        <w:rPr>
          <w:rFonts w:ascii="times_new_roman" w:hAnsi="times_new_roman" w:eastAsia="times_new_roman" w:cs="times_new_roman"/>
          <w:kern w:val="0"/>
          <w:sz w:val="27"/>
          <w:szCs w:val="27"/>
          <w:u w:val="single"/>
        </w:rPr>
        <w:t xml:space="preserve"> 31.54</w:t>
      </w:r>
      <w:r>
        <w:rPr>
          <w:rFonts w:ascii="fang_song_gb2312" w:hAnsi="fang_song_gb2312" w:eastAsia="fang_song_gb2312" w:cs="fang_song_gb2312"/>
          <w:kern w:val="0"/>
          <w:sz w:val="27"/>
          <w:szCs w:val="27"/>
        </w:rPr>
        <w:t>万元。比上年决算相比，增加（减少）</w:t>
      </w:r>
      <w:r>
        <w:rPr>
          <w:rFonts w:ascii="times_new_roman" w:hAnsi="times_new_roman" w:eastAsia="times_new_roman" w:cs="times_new_roman"/>
          <w:kern w:val="0"/>
          <w:sz w:val="27"/>
          <w:szCs w:val="27"/>
          <w:u w:val="single"/>
        </w:rPr>
        <w:t xml:space="preserve"> 7.74</w:t>
      </w:r>
      <w:r>
        <w:rPr>
          <w:rFonts w:ascii="fang_song_gb2312" w:hAnsi="fang_song_gb2312" w:eastAsia="fang_song_gb2312" w:cs="fang_song_gb2312"/>
          <w:kern w:val="0"/>
          <w:sz w:val="27"/>
          <w:szCs w:val="27"/>
        </w:rPr>
        <w:t>万元，增长（减少）</w:t>
      </w:r>
      <w:r>
        <w:rPr>
          <w:rFonts w:ascii="times_new_roman" w:hAnsi="times_new_roman" w:eastAsia="times_new_roman" w:cs="times_new_roman"/>
          <w:kern w:val="0"/>
          <w:sz w:val="27"/>
          <w:szCs w:val="27"/>
          <w:u w:val="single"/>
        </w:rPr>
        <w:t xml:space="preserve"> 32.53</w:t>
      </w:r>
      <w:r>
        <w:rPr>
          <w:rFonts w:ascii="fang_song_gb2312" w:hAnsi="fang_song_gb2312" w:eastAsia="fang_song_gb2312" w:cs="fang_song_gb2312"/>
          <w:kern w:val="0"/>
          <w:sz w:val="27"/>
          <w:szCs w:val="27"/>
        </w:rPr>
        <w:t>%，变动原因：……。</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（特别强调：行政单位、参照公务员法管理事业单位、其他事业单位依据“公开</w:t>
      </w:r>
      <w:r>
        <w:rPr>
          <w:rFonts w:ascii="times_new_roman" w:hAnsi="times_new_roman" w:eastAsia="times_new_roman" w:cs="times_new_roman"/>
          <w:color w:val="0E00FE"/>
          <w:kern w:val="0"/>
          <w:sz w:val="27"/>
          <w:szCs w:val="27"/>
        </w:rPr>
        <w:t>06</w:t>
      </w:r>
      <w:r>
        <w:rPr>
          <w:rFonts w:ascii="fang_song_gb2312" w:hAnsi="fang_song_gb2312" w:eastAsia="fang_song_gb2312" w:cs="fang_song_gb2312"/>
          <w:color w:val="0E00FE"/>
          <w:kern w:val="0"/>
          <w:sz w:val="27"/>
          <w:szCs w:val="27"/>
        </w:rPr>
        <w:t>表一般公共预算财政拨款基本支出决算明细表”公用经费合计数填列。）</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SimHei" w:hAnsi="SimHei" w:eastAsia="SimHei" w:cs="SimHei"/>
          <w:b/>
          <w:bCs/>
          <w:kern w:val="0"/>
          <w:sz w:val="27"/>
          <w:szCs w:val="27"/>
        </w:rPr>
        <w:t xml:space="preserve"> </w:t>
      </w:r>
      <w:r>
        <w:rPr>
          <w:rFonts w:ascii="Calibri" w:hAnsi="Calibri" w:eastAsia="Calibri" w:cs="Calibri"/>
          <w:b/>
          <w:bCs/>
          <w:kern w:val="0"/>
          <w:sz w:val="27"/>
          <w:szCs w:val="27"/>
        </w:rPr>
        <w:t> </w:t>
      </w:r>
      <w:r>
        <w:rPr>
          <w:rFonts w:ascii="SimHei" w:hAnsi="SimHei" w:eastAsia="SimHei" w:cs="SimHei"/>
          <w:b/>
          <w:bCs/>
          <w:kern w:val="0"/>
          <w:sz w:val="27"/>
          <w:szCs w:val="27"/>
        </w:rPr>
        <w:t xml:space="preserve"> 十二、</w:t>
      </w:r>
      <w:r>
        <w:rPr>
          <w:rFonts w:ascii="SimHei" w:hAnsi="SimHei" w:eastAsia="SimHei" w:cs="SimHei"/>
          <w:b/>
          <w:bCs/>
          <w:kern w:val="0"/>
          <w:sz w:val="27"/>
          <w:szCs w:val="27"/>
        </w:rPr>
        <w:t>政府采购支出决算情况说明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内蒙古自治区通辽市科学技术协会（部门）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年度政府采购支出总额</w:t>
      </w:r>
      <w:r>
        <w:rPr>
          <w:rFonts w:ascii="times_new_roman" w:hAnsi="times_new_roman" w:eastAsia="times_new_roman" w:cs="times_new_roman"/>
          <w:kern w:val="0"/>
          <w:sz w:val="27"/>
          <w:szCs w:val="27"/>
          <w:u w:val="single"/>
        </w:rPr>
        <w:t xml:space="preserve"> 379.18</w:t>
      </w:r>
      <w:r>
        <w:rPr>
          <w:rFonts w:ascii="fang_song_gb2312" w:hAnsi="fang_song_gb2312" w:eastAsia="fang_song_gb2312" w:cs="fang_song_gb2312"/>
          <w:kern w:val="0"/>
          <w:sz w:val="27"/>
          <w:szCs w:val="27"/>
        </w:rPr>
        <w:t>万元，其中：政府采购货物支出</w:t>
      </w:r>
      <w:r>
        <w:rPr>
          <w:rFonts w:ascii="times_new_roman" w:hAnsi="times_new_roman" w:eastAsia="times_new_roman" w:cs="times_new_roman"/>
          <w:kern w:val="0"/>
          <w:sz w:val="27"/>
          <w:szCs w:val="27"/>
          <w:u w:val="single"/>
        </w:rPr>
        <w:t xml:space="preserve"> 256.46</w:t>
      </w:r>
      <w:r>
        <w:rPr>
          <w:rFonts w:ascii="fang_song_gb2312" w:hAnsi="fang_song_gb2312" w:eastAsia="fang_song_gb2312" w:cs="fang_song_gb2312"/>
          <w:kern w:val="0"/>
          <w:sz w:val="27"/>
          <w:szCs w:val="27"/>
        </w:rPr>
        <w:t>万元、政府采购工程支出</w:t>
      </w:r>
      <w:r>
        <w:rPr>
          <w:rFonts w:ascii="times_new_roman" w:hAnsi="times_new_roman" w:eastAsia="times_new_roman" w:cs="times_new_roman"/>
          <w:kern w:val="0"/>
          <w:sz w:val="27"/>
          <w:szCs w:val="27"/>
          <w:u w:val="single"/>
        </w:rPr>
        <w:t xml:space="preserve"> 0.00</w:t>
      </w:r>
      <w:r>
        <w:rPr>
          <w:rFonts w:ascii="fang_song_gb2312" w:hAnsi="fang_song_gb2312" w:eastAsia="fang_song_gb2312" w:cs="fang_song_gb2312"/>
          <w:kern w:val="0"/>
          <w:sz w:val="27"/>
          <w:szCs w:val="27"/>
        </w:rPr>
        <w:t>万元、政府采购服务支出</w:t>
      </w:r>
      <w:r>
        <w:rPr>
          <w:rFonts w:ascii="times_new_roman" w:hAnsi="times_new_roman" w:eastAsia="times_new_roman" w:cs="times_new_roman"/>
          <w:kern w:val="0"/>
          <w:sz w:val="27"/>
          <w:szCs w:val="27"/>
          <w:u w:val="single"/>
        </w:rPr>
        <w:t xml:space="preserve"> 122.72</w:t>
      </w:r>
      <w:r>
        <w:rPr>
          <w:rFonts w:ascii="fang_song_gb2312" w:hAnsi="fang_song_gb2312" w:eastAsia="fang_song_gb2312" w:cs="fang_song_gb2312"/>
          <w:kern w:val="0"/>
          <w:sz w:val="27"/>
          <w:szCs w:val="27"/>
        </w:rPr>
        <w:t>万元。政府采购授予中小企业合同金额</w:t>
      </w:r>
      <w:r>
        <w:rPr>
          <w:rFonts w:ascii="times_new_roman" w:hAnsi="times_new_roman" w:eastAsia="times_new_roman" w:cs="times_new_roman"/>
          <w:kern w:val="0"/>
          <w:sz w:val="27"/>
          <w:szCs w:val="27"/>
          <w:u w:val="single"/>
        </w:rPr>
        <w:t xml:space="preserve"> 368.80</w:t>
      </w:r>
      <w:r>
        <w:rPr>
          <w:rFonts w:ascii="fang_song_gb2312" w:hAnsi="fang_song_gb2312" w:eastAsia="fang_song_gb2312" w:cs="fang_song_gb2312"/>
          <w:kern w:val="0"/>
          <w:sz w:val="27"/>
          <w:szCs w:val="27"/>
        </w:rPr>
        <w:t>万元，占政府采购支出总额的</w:t>
      </w:r>
      <w:r>
        <w:rPr>
          <w:rFonts w:ascii="times_new_roman" w:hAnsi="times_new_roman" w:eastAsia="times_new_roman" w:cs="times_new_roman"/>
          <w:kern w:val="0"/>
          <w:sz w:val="27"/>
          <w:szCs w:val="27"/>
          <w:u w:val="single"/>
        </w:rPr>
        <w:t>XX.X</w:t>
      </w:r>
      <w:r>
        <w:rPr>
          <w:rFonts w:ascii="fang_song_gb2312" w:hAnsi="fang_song_gb2312" w:eastAsia="fang_song_gb2312" w:cs="fang_song_gb2312"/>
          <w:kern w:val="0"/>
          <w:sz w:val="27"/>
          <w:szCs w:val="27"/>
        </w:rPr>
        <w:t>%，其中：授予小微企业合同金额</w:t>
      </w:r>
      <w:r>
        <w:rPr>
          <w:rFonts w:ascii="times_new_roman" w:hAnsi="times_new_roman" w:eastAsia="times_new_roman" w:cs="times_new_roman"/>
          <w:kern w:val="0"/>
          <w:sz w:val="27"/>
          <w:szCs w:val="27"/>
          <w:u w:val="single"/>
        </w:rPr>
        <w:t>  368.16</w:t>
      </w:r>
      <w:r>
        <w:rPr>
          <w:rFonts w:ascii="fang_song_gb2312" w:hAnsi="fang_song_gb2312" w:eastAsia="fang_song_gb2312" w:cs="fang_song_gb2312"/>
          <w:kern w:val="0"/>
          <w:sz w:val="27"/>
          <w:szCs w:val="27"/>
        </w:rPr>
        <w:t>万元，占政府采购支出总额的</w:t>
      </w:r>
      <w:r>
        <w:rPr>
          <w:rFonts w:ascii="times_new_roman" w:hAnsi="times_new_roman" w:eastAsia="times_new_roman" w:cs="times_new_roman"/>
          <w:kern w:val="0"/>
          <w:sz w:val="27"/>
          <w:szCs w:val="27"/>
          <w:u w:val="single"/>
        </w:rPr>
        <w:t>XX.X</w:t>
      </w:r>
      <w:r>
        <w:rPr>
          <w:rFonts w:ascii="fang_song_gb2312" w:hAnsi="fang_song_gb2312" w:eastAsia="fang_song_gb2312" w:cs="fang_song_gb2312"/>
          <w:kern w:val="0"/>
          <w:sz w:val="27"/>
          <w:szCs w:val="27"/>
        </w:rPr>
        <w:t>%；货物采购授予中小企业合同金额占货物支出金额的</w:t>
      </w:r>
      <w:r>
        <w:rPr>
          <w:rFonts w:ascii="times_new_roman" w:hAnsi="times_new_roman" w:eastAsia="times_new_roman" w:cs="times_new_roman"/>
          <w:kern w:val="0"/>
          <w:sz w:val="27"/>
          <w:szCs w:val="27"/>
          <w:u w:val="single"/>
        </w:rPr>
        <w:t>XX.X</w:t>
      </w:r>
      <w:r>
        <w:rPr>
          <w:rFonts w:ascii="fang_song_gb2312" w:hAnsi="fang_song_gb2312" w:eastAsia="fang_song_gb2312" w:cs="fang_song_gb2312"/>
          <w:kern w:val="0"/>
          <w:sz w:val="27"/>
          <w:szCs w:val="27"/>
        </w:rPr>
        <w:t>%，工程采购授予中小企业合同金额占工程支出金额的</w:t>
      </w:r>
      <w:r>
        <w:rPr>
          <w:rFonts w:ascii="times_new_roman" w:hAnsi="times_new_roman" w:eastAsia="times_new_roman" w:cs="times_new_roman"/>
          <w:kern w:val="0"/>
          <w:sz w:val="27"/>
          <w:szCs w:val="27"/>
          <w:u w:val="single"/>
        </w:rPr>
        <w:t>XX.X</w:t>
      </w:r>
      <w:r>
        <w:rPr>
          <w:rFonts w:ascii="fang_song_gb2312" w:hAnsi="fang_song_gb2312" w:eastAsia="fang_song_gb2312" w:cs="fang_song_gb2312"/>
          <w:kern w:val="0"/>
          <w:sz w:val="27"/>
          <w:szCs w:val="27"/>
        </w:rPr>
        <w:t>%，服务采购授予中小企业合同金额占服务支出金额的</w:t>
      </w:r>
      <w:r>
        <w:rPr>
          <w:rFonts w:ascii="times_new_roman" w:hAnsi="times_new_roman" w:eastAsia="times_new_roman" w:cs="times_new_roman"/>
          <w:kern w:val="0"/>
          <w:sz w:val="27"/>
          <w:szCs w:val="27"/>
          <w:u w:val="single"/>
        </w:rPr>
        <w:t>XX.X</w:t>
      </w:r>
      <w:r>
        <w:rPr>
          <w:rFonts w:ascii="fang_song_gb2312" w:hAnsi="fang_song_gb2312" w:eastAsia="fang_song_gb2312" w:cs="fang_song_gb2312"/>
          <w:kern w:val="0"/>
          <w:sz w:val="27"/>
          <w:szCs w:val="27"/>
        </w:rPr>
        <w:t>%。</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（特别强调：依据“公开</w:t>
      </w:r>
      <w:r>
        <w:rPr>
          <w:rFonts w:ascii="times_new_roman" w:hAnsi="times_new_roman" w:eastAsia="times_new_roman" w:cs="times_new_roman"/>
          <w:color w:val="0E00FE"/>
          <w:kern w:val="0"/>
          <w:sz w:val="27"/>
          <w:szCs w:val="27"/>
        </w:rPr>
        <w:t>11</w:t>
      </w:r>
      <w:r>
        <w:rPr>
          <w:rFonts w:ascii="fang_song_gb2312" w:hAnsi="fang_song_gb2312" w:eastAsia="fang_song_gb2312" w:cs="fang_song_gb2312"/>
          <w:color w:val="0E00FE"/>
          <w:kern w:val="0"/>
          <w:sz w:val="27"/>
          <w:szCs w:val="27"/>
        </w:rPr>
        <w:t>表机构运行经费支出、国有资产占用情况及政府采购支出信息表”数据填列。）</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SimHei" w:hAnsi="SimHei" w:eastAsia="SimHei" w:cs="SimHei"/>
          <w:b/>
          <w:bCs/>
          <w:kern w:val="0"/>
          <w:sz w:val="27"/>
          <w:szCs w:val="27"/>
        </w:rPr>
        <w:t xml:space="preserve"> </w:t>
      </w:r>
      <w:r>
        <w:rPr>
          <w:rFonts w:ascii="Calibri" w:hAnsi="Calibri" w:eastAsia="Calibri" w:cs="Calibri"/>
          <w:b/>
          <w:bCs/>
          <w:kern w:val="0"/>
          <w:sz w:val="27"/>
          <w:szCs w:val="27"/>
        </w:rPr>
        <w:t> </w:t>
      </w:r>
      <w:r>
        <w:rPr>
          <w:rFonts w:ascii="SimHei" w:hAnsi="SimHei" w:eastAsia="SimHei" w:cs="SimHei"/>
          <w:b/>
          <w:bCs/>
          <w:kern w:val="0"/>
          <w:sz w:val="27"/>
          <w:szCs w:val="27"/>
        </w:rPr>
        <w:t xml:space="preserve"> 十三、</w:t>
      </w:r>
      <w:r>
        <w:rPr>
          <w:rFonts w:ascii="SimHei" w:hAnsi="SimHei" w:eastAsia="SimHei" w:cs="SimHei"/>
          <w:b/>
          <w:bCs/>
          <w:kern w:val="0"/>
          <w:sz w:val="27"/>
          <w:szCs w:val="27"/>
        </w:rPr>
        <w:t>国有资产占用情况说明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内蒙古自治区通辽市科学技术协会（部门） 截至</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w:t>
      </w:r>
      <w:r>
        <w:rPr>
          <w:rFonts w:ascii="times_new_roman" w:hAnsi="times_new_roman" w:eastAsia="times_new_roman" w:cs="times_new_roman"/>
          <w:kern w:val="0"/>
          <w:sz w:val="27"/>
          <w:szCs w:val="27"/>
        </w:rPr>
        <w:t>12</w:t>
      </w:r>
      <w:r>
        <w:rPr>
          <w:rFonts w:ascii="fang_song_gb2312" w:hAnsi="fang_song_gb2312" w:eastAsia="fang_song_gb2312" w:cs="fang_song_gb2312"/>
          <w:kern w:val="0"/>
          <w:sz w:val="27"/>
          <w:szCs w:val="27"/>
        </w:rPr>
        <w:t>月</w:t>
      </w:r>
      <w:r>
        <w:rPr>
          <w:rFonts w:ascii="times_new_roman" w:hAnsi="times_new_roman" w:eastAsia="times_new_roman" w:cs="times_new_roman"/>
          <w:kern w:val="0"/>
          <w:sz w:val="27"/>
          <w:szCs w:val="27"/>
        </w:rPr>
        <w:t>31</w:t>
      </w:r>
      <w:r>
        <w:rPr>
          <w:rFonts w:ascii="fang_song_gb2312" w:hAnsi="fang_song_gb2312" w:eastAsia="fang_song_gb2312" w:cs="fang_song_gb2312"/>
          <w:kern w:val="0"/>
          <w:sz w:val="27"/>
          <w:szCs w:val="27"/>
        </w:rPr>
        <w:t>日，本部门（单位）共有车辆</w:t>
      </w:r>
      <w:r>
        <w:rPr>
          <w:rFonts w:ascii="times_new_roman" w:hAnsi="times_new_roman" w:eastAsia="times_new_roman" w:cs="times_new_roman"/>
          <w:kern w:val="0"/>
          <w:sz w:val="27"/>
          <w:szCs w:val="27"/>
          <w:u w:val="single"/>
        </w:rPr>
        <w:t xml:space="preserve"> 4</w:t>
      </w:r>
      <w:r>
        <w:rPr>
          <w:rFonts w:ascii="fang_song_gb2312" w:hAnsi="fang_song_gb2312" w:eastAsia="fang_song_gb2312" w:cs="fang_song_gb2312"/>
          <w:kern w:val="0"/>
          <w:sz w:val="27"/>
          <w:szCs w:val="27"/>
        </w:rPr>
        <w:t>辆，其中：副部（省）级及以上领导用车</w:t>
      </w:r>
      <w:r>
        <w:rPr>
          <w:rFonts w:ascii="times_new_roman" w:hAnsi="times_new_roman" w:eastAsia="times_new_roman" w:cs="times_new_roman"/>
          <w:kern w:val="0"/>
          <w:sz w:val="27"/>
          <w:szCs w:val="27"/>
          <w:u w:val="single"/>
        </w:rPr>
        <w:t xml:space="preserve">0 </w:t>
      </w:r>
      <w:r>
        <w:rPr>
          <w:rFonts w:ascii="fang_song_gb2312" w:hAnsi="fang_song_gb2312" w:eastAsia="fang_song_gb2312" w:cs="fang_song_gb2312"/>
          <w:kern w:val="0"/>
          <w:sz w:val="27"/>
          <w:szCs w:val="27"/>
        </w:rPr>
        <w:t>辆、主要负责人用车</w:t>
      </w:r>
      <w:r>
        <w:rPr>
          <w:rFonts w:ascii="times_new_roman" w:hAnsi="times_new_roman" w:eastAsia="times_new_roman" w:cs="times_new_roman"/>
          <w:kern w:val="0"/>
          <w:sz w:val="27"/>
          <w:szCs w:val="27"/>
          <w:u w:val="single"/>
        </w:rPr>
        <w:t xml:space="preserve"> 0</w:t>
      </w:r>
      <w:r>
        <w:rPr>
          <w:rFonts w:ascii="fang_song_gb2312" w:hAnsi="fang_song_gb2312" w:eastAsia="fang_song_gb2312" w:cs="fang_song_gb2312"/>
          <w:kern w:val="0"/>
          <w:sz w:val="27"/>
          <w:szCs w:val="27"/>
        </w:rPr>
        <w:t>辆、机要通信用车</w:t>
      </w:r>
      <w:r>
        <w:rPr>
          <w:rFonts w:ascii="times_new_roman" w:hAnsi="times_new_roman" w:eastAsia="times_new_roman" w:cs="times_new_roman"/>
          <w:kern w:val="0"/>
          <w:sz w:val="27"/>
          <w:szCs w:val="27"/>
          <w:u w:val="single"/>
        </w:rPr>
        <w:t xml:space="preserve"> 1</w:t>
      </w:r>
      <w:r>
        <w:rPr>
          <w:rFonts w:ascii="fang_song_gb2312" w:hAnsi="fang_song_gb2312" w:eastAsia="fang_song_gb2312" w:cs="fang_song_gb2312"/>
          <w:kern w:val="0"/>
          <w:sz w:val="27"/>
          <w:szCs w:val="27"/>
        </w:rPr>
        <w:t>辆、应急保障用车</w:t>
      </w:r>
      <w:r>
        <w:rPr>
          <w:rFonts w:ascii="times_new_roman" w:hAnsi="times_new_roman" w:eastAsia="times_new_roman" w:cs="times_new_roman"/>
          <w:kern w:val="0"/>
          <w:sz w:val="27"/>
          <w:szCs w:val="27"/>
          <w:u w:val="single"/>
        </w:rPr>
        <w:t xml:space="preserve"> 0</w:t>
      </w:r>
      <w:r>
        <w:rPr>
          <w:rFonts w:ascii="fang_song_gb2312" w:hAnsi="fang_song_gb2312" w:eastAsia="fang_song_gb2312" w:cs="fang_song_gb2312"/>
          <w:kern w:val="0"/>
          <w:sz w:val="27"/>
          <w:szCs w:val="27"/>
        </w:rPr>
        <w:t>辆、执法执勤用车</w:t>
      </w:r>
      <w:r>
        <w:rPr>
          <w:rFonts w:ascii="times_new_roman" w:hAnsi="times_new_roman" w:eastAsia="times_new_roman" w:cs="times_new_roman"/>
          <w:kern w:val="0"/>
          <w:sz w:val="27"/>
          <w:szCs w:val="27"/>
          <w:u w:val="single"/>
        </w:rPr>
        <w:t xml:space="preserve"> 0</w:t>
      </w:r>
      <w:r>
        <w:rPr>
          <w:rFonts w:ascii="fang_song_gb2312" w:hAnsi="fang_song_gb2312" w:eastAsia="fang_song_gb2312" w:cs="fang_song_gb2312"/>
          <w:kern w:val="0"/>
          <w:sz w:val="27"/>
          <w:szCs w:val="27"/>
        </w:rPr>
        <w:t>辆、特种专业技术用车</w:t>
      </w:r>
      <w:r>
        <w:rPr>
          <w:rFonts w:ascii="times_new_roman" w:hAnsi="times_new_roman" w:eastAsia="times_new_roman" w:cs="times_new_roman"/>
          <w:kern w:val="0"/>
          <w:sz w:val="27"/>
          <w:szCs w:val="27"/>
          <w:u w:val="single"/>
        </w:rPr>
        <w:t xml:space="preserve"> 3</w:t>
      </w:r>
      <w:r>
        <w:rPr>
          <w:rFonts w:ascii="fang_song_gb2312" w:hAnsi="fang_song_gb2312" w:eastAsia="fang_song_gb2312" w:cs="fang_song_gb2312"/>
          <w:kern w:val="0"/>
          <w:sz w:val="27"/>
          <w:szCs w:val="27"/>
        </w:rPr>
        <w:t>辆、离退休干部服务用车</w:t>
      </w:r>
      <w:r>
        <w:rPr>
          <w:rFonts w:ascii="times_new_roman" w:hAnsi="times_new_roman" w:eastAsia="times_new_roman" w:cs="times_new_roman"/>
          <w:kern w:val="0"/>
          <w:sz w:val="27"/>
          <w:szCs w:val="27"/>
          <w:u w:val="single"/>
        </w:rPr>
        <w:t xml:space="preserve"> 0</w:t>
      </w:r>
      <w:r>
        <w:rPr>
          <w:rFonts w:ascii="fang_song_gb2312" w:hAnsi="fang_song_gb2312" w:eastAsia="fang_song_gb2312" w:cs="fang_song_gb2312"/>
          <w:kern w:val="0"/>
          <w:sz w:val="27"/>
          <w:szCs w:val="27"/>
        </w:rPr>
        <w:t>辆，其他用车</w:t>
      </w:r>
      <w:r>
        <w:rPr>
          <w:rFonts w:ascii="times_new_roman" w:hAnsi="times_new_roman" w:eastAsia="times_new_roman" w:cs="times_new_roman"/>
          <w:kern w:val="0"/>
          <w:sz w:val="27"/>
          <w:szCs w:val="27"/>
          <w:u w:val="single"/>
        </w:rPr>
        <w:t xml:space="preserve"> 0</w:t>
      </w:r>
      <w:r>
        <w:rPr>
          <w:rFonts w:ascii="fang_song_gb2312" w:hAnsi="fang_song_gb2312" w:eastAsia="fang_song_gb2312" w:cs="fang_song_gb2312"/>
          <w:kern w:val="0"/>
          <w:sz w:val="27"/>
          <w:szCs w:val="27"/>
        </w:rPr>
        <w:t>辆；单价100万元（含）以上的设备（不含车辆）</w:t>
      </w:r>
      <w:r>
        <w:rPr>
          <w:rFonts w:ascii="times_new_roman" w:hAnsi="times_new_roman" w:eastAsia="times_new_roman" w:cs="times_new_roman"/>
          <w:kern w:val="0"/>
          <w:sz w:val="27"/>
          <w:szCs w:val="27"/>
          <w:u w:val="single"/>
        </w:rPr>
        <w:t xml:space="preserve"> 1</w:t>
      </w:r>
      <w:r>
        <w:rPr>
          <w:rFonts w:ascii="fang_song_gb2312" w:hAnsi="fang_song_gb2312" w:eastAsia="fang_song_gb2312" w:cs="fang_song_gb2312"/>
          <w:kern w:val="0"/>
          <w:sz w:val="27"/>
          <w:szCs w:val="27"/>
        </w:rPr>
        <w:t>台（套）。</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（特别强调：依据“公开</w:t>
      </w:r>
      <w:r>
        <w:rPr>
          <w:rFonts w:ascii="times_new_roman" w:hAnsi="times_new_roman" w:eastAsia="times_new_roman" w:cs="times_new_roman"/>
          <w:color w:val="0E00FE"/>
          <w:kern w:val="0"/>
          <w:sz w:val="27"/>
          <w:szCs w:val="27"/>
        </w:rPr>
        <w:t>11</w:t>
      </w:r>
      <w:r>
        <w:rPr>
          <w:rFonts w:ascii="fang_song_gb2312" w:hAnsi="fang_song_gb2312" w:eastAsia="fang_song_gb2312" w:cs="fang_song_gb2312"/>
          <w:color w:val="0E00FE"/>
          <w:kern w:val="0"/>
          <w:sz w:val="27"/>
          <w:szCs w:val="27"/>
        </w:rPr>
        <w:t>表机构运行经费支出、国有资产占用情况及政府采购支出信息表”数据填列。）</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SimHei" w:hAnsi="SimHei" w:eastAsia="SimHei" w:cs="SimHei"/>
          <w:b/>
          <w:bCs/>
          <w:kern w:val="0"/>
          <w:sz w:val="27"/>
          <w:szCs w:val="27"/>
        </w:rPr>
        <w:t xml:space="preserve"> </w:t>
      </w:r>
      <w:r>
        <w:rPr>
          <w:rFonts w:ascii="Calibri" w:hAnsi="Calibri" w:eastAsia="Calibri" w:cs="Calibri"/>
          <w:b/>
          <w:bCs/>
          <w:kern w:val="0"/>
          <w:sz w:val="27"/>
          <w:szCs w:val="27"/>
        </w:rPr>
        <w:t> </w:t>
      </w:r>
      <w:r>
        <w:rPr>
          <w:rFonts w:ascii="SimHei" w:hAnsi="SimHei" w:eastAsia="SimHei" w:cs="SimHei"/>
          <w:b/>
          <w:bCs/>
          <w:kern w:val="0"/>
          <w:sz w:val="27"/>
          <w:szCs w:val="27"/>
        </w:rPr>
        <w:t xml:space="preserve"> 十四、</w:t>
      </w:r>
      <w:r>
        <w:rPr>
          <w:rFonts w:ascii="SimHei" w:hAnsi="SimHei" w:eastAsia="SimHei" w:cs="SimHei"/>
          <w:b/>
          <w:bCs/>
          <w:kern w:val="0"/>
          <w:sz w:val="27"/>
          <w:szCs w:val="27"/>
        </w:rPr>
        <w:t>预算绩效情况说明</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（一）预算绩效管理工作开展情况。</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内蒙古自治区通辽市科学技术协会（部门） 根据预算绩效管理要求组织对</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年一般公共预算项目支出全面开展绩效自评，其中一级项目</w:t>
      </w:r>
      <w:r>
        <w:rPr>
          <w:rFonts w:ascii="times_new_roman" w:hAnsi="times_new_roman" w:eastAsia="times_new_roman" w:cs="times_new_roman"/>
          <w:kern w:val="0"/>
          <w:sz w:val="27"/>
          <w:szCs w:val="27"/>
          <w:u w:val="single"/>
        </w:rPr>
        <w:t>XX</w:t>
      </w:r>
      <w:r>
        <w:rPr>
          <w:rFonts w:ascii="fang_song_gb2312" w:hAnsi="fang_song_gb2312" w:eastAsia="fang_song_gb2312" w:cs="fang_song_gb2312"/>
          <w:kern w:val="0"/>
          <w:sz w:val="27"/>
          <w:szCs w:val="27"/>
        </w:rPr>
        <w:t>个，二级项目</w:t>
      </w:r>
      <w:r>
        <w:rPr>
          <w:rFonts w:ascii="times_new_roman" w:hAnsi="times_new_roman" w:eastAsia="times_new_roman" w:cs="times_new_roman"/>
          <w:kern w:val="0"/>
          <w:sz w:val="27"/>
          <w:szCs w:val="27"/>
          <w:u w:val="single"/>
        </w:rPr>
        <w:t>XX</w:t>
      </w:r>
      <w:r>
        <w:rPr>
          <w:rFonts w:ascii="fang_song_gb2312" w:hAnsi="fang_song_gb2312" w:eastAsia="fang_song_gb2312" w:cs="fang_song_gb2312"/>
          <w:kern w:val="0"/>
          <w:sz w:val="27"/>
          <w:szCs w:val="27"/>
        </w:rPr>
        <w:t>个，共涉及资金</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万元，占一般公共预算项目支出总额的</w:t>
      </w:r>
      <w:r>
        <w:rPr>
          <w:rFonts w:ascii="times_new_roman" w:hAnsi="times_new_roman" w:eastAsia="times_new_roman" w:cs="times_new_roman"/>
          <w:kern w:val="0"/>
          <w:sz w:val="27"/>
          <w:szCs w:val="27"/>
        </w:rPr>
        <w:t>100</w:t>
      </w:r>
      <w:r>
        <w:rPr>
          <w:rFonts w:ascii="fang_song_gb2312" w:hAnsi="fang_song_gb2312" w:eastAsia="fang_song_gb2312" w:cs="fang_song_gb2312"/>
          <w:kern w:val="0"/>
          <w:sz w:val="27"/>
          <w:szCs w:val="27"/>
        </w:rPr>
        <w:t>%；政府性基金预算项目</w:t>
      </w:r>
      <w:r>
        <w:rPr>
          <w:rFonts w:ascii="times_new_roman" w:hAnsi="times_new_roman" w:eastAsia="times_new_roman" w:cs="times_new_roman"/>
          <w:kern w:val="0"/>
          <w:sz w:val="27"/>
          <w:szCs w:val="27"/>
          <w:u w:val="single"/>
        </w:rPr>
        <w:t>XX</w:t>
      </w:r>
      <w:r>
        <w:rPr>
          <w:rFonts w:ascii="fang_song_gb2312" w:hAnsi="fang_song_gb2312" w:eastAsia="fang_song_gb2312" w:cs="fang_song_gb2312"/>
          <w:kern w:val="0"/>
          <w:sz w:val="27"/>
          <w:szCs w:val="27"/>
        </w:rPr>
        <w:t>个，其中，一级项目</w:t>
      </w:r>
      <w:r>
        <w:rPr>
          <w:rFonts w:ascii="times_new_roman" w:hAnsi="times_new_roman" w:eastAsia="times_new_roman" w:cs="times_new_roman"/>
          <w:kern w:val="0"/>
          <w:sz w:val="27"/>
          <w:szCs w:val="27"/>
          <w:u w:val="single"/>
        </w:rPr>
        <w:t>    </w:t>
      </w:r>
      <w:r>
        <w:rPr>
          <w:rFonts w:ascii="fang_song_gb2312" w:hAnsi="fang_song_gb2312" w:eastAsia="fang_song_gb2312" w:cs="fang_song_gb2312"/>
          <w:kern w:val="0"/>
          <w:sz w:val="27"/>
          <w:szCs w:val="27"/>
        </w:rPr>
        <w:t>个，二级项目</w:t>
      </w:r>
      <w:r>
        <w:rPr>
          <w:rFonts w:ascii="times_new_roman" w:hAnsi="times_new_roman" w:eastAsia="times_new_roman" w:cs="times_new_roman"/>
          <w:kern w:val="0"/>
          <w:sz w:val="27"/>
          <w:szCs w:val="27"/>
          <w:u w:val="single"/>
        </w:rPr>
        <w:t>XX</w:t>
      </w:r>
      <w:r>
        <w:rPr>
          <w:rFonts w:ascii="fang_song_gb2312" w:hAnsi="fang_song_gb2312" w:eastAsia="fang_song_gb2312" w:cs="fang_song_gb2312"/>
          <w:kern w:val="0"/>
          <w:sz w:val="27"/>
          <w:szCs w:val="27"/>
        </w:rPr>
        <w:t>个，共涉及资金</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万元，占应纳入绩效自评的政府性基金预算项目支出总额的</w:t>
      </w:r>
      <w:r>
        <w:rPr>
          <w:rFonts w:ascii="times_new_roman" w:hAnsi="times_new_roman" w:eastAsia="times_new_roman" w:cs="times_new_roman"/>
          <w:kern w:val="0"/>
          <w:sz w:val="27"/>
          <w:szCs w:val="27"/>
        </w:rPr>
        <w:t>100%</w:t>
      </w:r>
      <w:r>
        <w:rPr>
          <w:rFonts w:ascii="fang_song_gb2312" w:hAnsi="fang_song_gb2312" w:eastAsia="fang_song_gb2312" w:cs="fang_song_gb2312"/>
          <w:kern w:val="0"/>
          <w:sz w:val="27"/>
          <w:szCs w:val="27"/>
        </w:rPr>
        <w:t>；......（如有国有资本经营预算、社保基金预算、政府债务项目、政府投资基金项目、</w:t>
      </w:r>
      <w:r>
        <w:rPr>
          <w:rFonts w:ascii="times_new_roman" w:hAnsi="times_new_roman" w:eastAsia="times_new_roman" w:cs="times_new_roman"/>
          <w:kern w:val="0"/>
          <w:sz w:val="27"/>
          <w:szCs w:val="27"/>
        </w:rPr>
        <w:t>PPP</w:t>
      </w:r>
      <w:r>
        <w:rPr>
          <w:rFonts w:ascii="fang_song_gb2312" w:hAnsi="fang_song_gb2312" w:eastAsia="fang_song_gb2312" w:cs="fang_song_gb2312"/>
          <w:kern w:val="0"/>
          <w:sz w:val="27"/>
          <w:szCs w:val="27"/>
        </w:rPr>
        <w:t>项目和政府采购及政府购买服务等继续填列）。</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组织对“</w:t>
      </w:r>
      <w:r>
        <w:rPr>
          <w:rFonts w:ascii="times_new_roman" w:hAnsi="times_new_roman" w:eastAsia="times_new_roman" w:cs="times_new_roman"/>
          <w:kern w:val="0"/>
          <w:sz w:val="27"/>
          <w:szCs w:val="27"/>
        </w:rPr>
        <w:t>A</w:t>
      </w:r>
      <w:r>
        <w:rPr>
          <w:rFonts w:ascii="fang_song_gb2312" w:hAnsi="fang_song_gb2312" w:eastAsia="fang_song_gb2312" w:cs="fang_song_gb2312"/>
          <w:kern w:val="0"/>
          <w:sz w:val="27"/>
          <w:szCs w:val="27"/>
        </w:rPr>
        <w:t>项目”、“</w:t>
      </w:r>
      <w:r>
        <w:rPr>
          <w:rFonts w:ascii="times_new_roman" w:hAnsi="times_new_roman" w:eastAsia="times_new_roman" w:cs="times_new_roman"/>
          <w:kern w:val="0"/>
          <w:sz w:val="27"/>
          <w:szCs w:val="27"/>
        </w:rPr>
        <w:t>B</w:t>
      </w:r>
      <w:r>
        <w:rPr>
          <w:rFonts w:ascii="fang_song_gb2312" w:hAnsi="fang_song_gb2312" w:eastAsia="fang_song_gb2312" w:cs="fang_song_gb2312"/>
          <w:kern w:val="0"/>
          <w:sz w:val="27"/>
          <w:szCs w:val="27"/>
        </w:rPr>
        <w:t>项目”、“</w:t>
      </w:r>
      <w:r>
        <w:rPr>
          <w:rFonts w:ascii="times_new_roman" w:hAnsi="times_new_roman" w:eastAsia="times_new_roman" w:cs="times_new_roman"/>
          <w:kern w:val="0"/>
          <w:sz w:val="27"/>
          <w:szCs w:val="27"/>
        </w:rPr>
        <w:t>C</w:t>
      </w:r>
      <w:r>
        <w:rPr>
          <w:rFonts w:ascii="fang_song_gb2312" w:hAnsi="fang_song_gb2312" w:eastAsia="fang_song_gb2312" w:cs="fang_song_gb2312"/>
          <w:kern w:val="0"/>
          <w:sz w:val="27"/>
          <w:szCs w:val="27"/>
        </w:rPr>
        <w:t>项目”等</w:t>
      </w:r>
      <w:r>
        <w:rPr>
          <w:rFonts w:ascii="fang_song_gb2312" w:hAnsi="fang_song_gb2312" w:eastAsia="fang_song_gb2312" w:cs="fang_song_gb2312"/>
          <w:kern w:val="0"/>
          <w:sz w:val="27"/>
          <w:szCs w:val="27"/>
          <w:u w:val="single"/>
        </w:rPr>
        <w:t>    </w:t>
      </w:r>
      <w:r>
        <w:rPr>
          <w:rFonts w:ascii="fang_song_gb2312" w:hAnsi="fang_song_gb2312" w:eastAsia="fang_song_gb2312" w:cs="fang_song_gb2312"/>
          <w:kern w:val="0"/>
          <w:sz w:val="27"/>
          <w:szCs w:val="27"/>
        </w:rPr>
        <w:t>个项目开展了部门（单位）评价（此处即为重点评价内容），涉及一般公共预算支出</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万元，政府性基金支出</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万元，......（还有其他类资金的项目继续填列）。其中，对“</w:t>
      </w:r>
      <w:r>
        <w:rPr>
          <w:rFonts w:ascii="times_new_roman" w:hAnsi="times_new_roman" w:eastAsia="times_new_roman" w:cs="times_new_roman"/>
          <w:kern w:val="0"/>
          <w:sz w:val="27"/>
          <w:szCs w:val="27"/>
        </w:rPr>
        <w:t>A</w:t>
      </w:r>
      <w:r>
        <w:rPr>
          <w:rFonts w:ascii="fang_song_gb2312" w:hAnsi="fang_song_gb2312" w:eastAsia="fang_song_gb2312" w:cs="fang_song_gb2312"/>
          <w:kern w:val="0"/>
          <w:sz w:val="27"/>
          <w:szCs w:val="27"/>
        </w:rPr>
        <w:t>项目”、“</w:t>
      </w:r>
      <w:r>
        <w:rPr>
          <w:rFonts w:ascii="times_new_roman" w:hAnsi="times_new_roman" w:eastAsia="times_new_roman" w:cs="times_new_roman"/>
          <w:kern w:val="0"/>
          <w:sz w:val="27"/>
          <w:szCs w:val="27"/>
        </w:rPr>
        <w:t>B</w:t>
      </w:r>
      <w:r>
        <w:rPr>
          <w:rFonts w:ascii="fang_song_gb2312" w:hAnsi="fang_song_gb2312" w:eastAsia="fang_song_gb2312" w:cs="fang_song_gb2312"/>
          <w:kern w:val="0"/>
          <w:sz w:val="27"/>
          <w:szCs w:val="27"/>
        </w:rPr>
        <w:t>项目”、“</w:t>
      </w:r>
      <w:r>
        <w:rPr>
          <w:rFonts w:ascii="times_new_roman" w:hAnsi="times_new_roman" w:eastAsia="times_new_roman" w:cs="times_new_roman"/>
          <w:kern w:val="0"/>
          <w:sz w:val="27"/>
          <w:szCs w:val="27"/>
        </w:rPr>
        <w:t>C</w:t>
      </w:r>
      <w:r>
        <w:rPr>
          <w:rFonts w:ascii="fang_song_gb2312" w:hAnsi="fang_song_gb2312" w:eastAsia="fang_song_gb2312" w:cs="fang_song_gb2312"/>
          <w:kern w:val="0"/>
          <w:sz w:val="27"/>
          <w:szCs w:val="27"/>
        </w:rPr>
        <w:t>项目”等项目分别委托相关第三方机构开展绩效评价。从评价情况看，以上项目......（此处写重点评价的总结性评价结果，不是重点绩效评价报告全文）。</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（二）部门（单位）决算中项目绩效自评结果。</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内蒙古自治区通辽市科学技术协会（部门） </w:t>
      </w:r>
      <w:r>
        <w:rPr>
          <w:rFonts w:ascii="times_new_roman" w:hAnsi="times_new_roman" w:eastAsia="times_new_roman" w:cs="times_new_roman"/>
          <w:kern w:val="0"/>
          <w:sz w:val="27"/>
          <w:szCs w:val="27"/>
        </w:rPr>
        <w:t>2023</w:t>
      </w:r>
      <w:r>
        <w:rPr>
          <w:rFonts w:ascii="fang_song_gb2312" w:hAnsi="fang_song_gb2312" w:eastAsia="fang_song_gb2312" w:cs="fang_song_gb2312"/>
          <w:kern w:val="0"/>
          <w:sz w:val="27"/>
          <w:szCs w:val="27"/>
        </w:rPr>
        <w:t>年度在决算中反映</w:t>
      </w:r>
      <w:r>
        <w:rPr>
          <w:rFonts w:ascii="times_new_roman" w:hAnsi="times_new_roman" w:eastAsia="times_new_roman" w:cs="times_new_roman"/>
          <w:kern w:val="0"/>
          <w:sz w:val="27"/>
          <w:szCs w:val="27"/>
          <w:u w:val="single"/>
        </w:rPr>
        <w:t>XX</w:t>
      </w:r>
      <w:r>
        <w:rPr>
          <w:rFonts w:ascii="fang_song_gb2312" w:hAnsi="fang_song_gb2312" w:eastAsia="fang_song_gb2312" w:cs="fang_song_gb2312"/>
          <w:kern w:val="0"/>
          <w:sz w:val="27"/>
          <w:szCs w:val="27"/>
        </w:rPr>
        <w:t>个一般公共预算项目，以及</w:t>
      </w:r>
      <w:r>
        <w:rPr>
          <w:rFonts w:ascii="times_new_roman" w:hAnsi="times_new_roman" w:eastAsia="times_new_roman" w:cs="times_new_roman"/>
          <w:kern w:val="0"/>
          <w:sz w:val="27"/>
          <w:szCs w:val="27"/>
          <w:u w:val="single"/>
        </w:rPr>
        <w:t>XX</w:t>
      </w:r>
      <w:r>
        <w:rPr>
          <w:rFonts w:ascii="fang_song_gb2312" w:hAnsi="fang_song_gb2312" w:eastAsia="fang_song_gb2312" w:cs="fang_song_gb2312"/>
          <w:kern w:val="0"/>
          <w:sz w:val="27"/>
          <w:szCs w:val="27"/>
        </w:rPr>
        <w:t>个政府性基金项目， ......（还有其他资金的项目继续填列）共</w:t>
      </w:r>
      <w:r>
        <w:rPr>
          <w:rFonts w:ascii="times_new_roman" w:hAnsi="times_new_roman" w:eastAsia="times_new_roman" w:cs="times_new_roman"/>
          <w:kern w:val="0"/>
          <w:sz w:val="27"/>
          <w:szCs w:val="27"/>
          <w:u w:val="single"/>
        </w:rPr>
        <w:t>XX</w:t>
      </w:r>
      <w:r>
        <w:rPr>
          <w:rFonts w:ascii="fang_song_gb2312" w:hAnsi="fang_song_gb2312" w:eastAsia="fang_song_gb2312" w:cs="fang_song_gb2312"/>
          <w:kern w:val="0"/>
          <w:sz w:val="27"/>
          <w:szCs w:val="27"/>
        </w:rPr>
        <w:t>个项目的绩效自评结果。</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w:t>
      </w:r>
      <w:r>
        <w:rPr>
          <w:rFonts w:ascii="times_new_roman" w:hAnsi="times_new_roman" w:eastAsia="times_new_roman" w:cs="times_new_roman"/>
          <w:kern w:val="0"/>
          <w:sz w:val="27"/>
          <w:szCs w:val="27"/>
        </w:rPr>
        <w:t>1.XX</w:t>
      </w:r>
      <w:r>
        <w:rPr>
          <w:rFonts w:ascii="fang_song_gb2312" w:hAnsi="fang_song_gb2312" w:eastAsia="fang_song_gb2312" w:cs="fang_song_gb2312"/>
          <w:kern w:val="0"/>
          <w:sz w:val="27"/>
          <w:szCs w:val="27"/>
        </w:rPr>
        <w:t>项目自评综述：根据年初设定的绩效目标，项目自评得分</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分。全年预算数为</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万元，执行数为</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万元，完成预算的</w:t>
      </w:r>
      <w:r>
        <w:rPr>
          <w:rFonts w:ascii="times_new_roman" w:hAnsi="times_new_roman" w:eastAsia="times_new_roman" w:cs="times_new_roman"/>
          <w:kern w:val="0"/>
          <w:sz w:val="27"/>
          <w:szCs w:val="27"/>
          <w:u w:val="single"/>
        </w:rPr>
        <w:t>XX.X</w:t>
      </w:r>
      <w:r>
        <w:rPr>
          <w:rFonts w:ascii="fang_song_gb2312" w:hAnsi="fang_song_gb2312" w:eastAsia="fang_song_gb2312" w:cs="fang_song_gb2312"/>
          <w:kern w:val="0"/>
          <w:sz w:val="27"/>
          <w:szCs w:val="27"/>
        </w:rPr>
        <w:t>%。项目绩效目标完成情况：（简述核心绩效指标完成情况）。发现的主要问题及原因：（简述）。下一步改进措施：（简述）。</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w:t>
      </w:r>
      <w:r>
        <w:rPr>
          <w:rFonts w:ascii="times_new_roman" w:hAnsi="times_new_roman" w:eastAsia="times_new_roman" w:cs="times_new_roman"/>
          <w:kern w:val="0"/>
          <w:sz w:val="27"/>
          <w:szCs w:val="27"/>
        </w:rPr>
        <w:t>2.XX</w:t>
      </w:r>
      <w:r>
        <w:rPr>
          <w:rFonts w:ascii="fang_song_gb2312" w:hAnsi="fang_song_gb2312" w:eastAsia="fang_song_gb2312" w:cs="fang_song_gb2312"/>
          <w:kern w:val="0"/>
          <w:sz w:val="27"/>
          <w:szCs w:val="27"/>
        </w:rPr>
        <w:t>项目自评综述：</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......（以此类推）</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（所有项目自评综述完成后，按项目顺序列示项目支出绩效自评表，一个项目一张项目支出绩效自评表。自评项目</w:t>
      </w:r>
      <w:r>
        <w:rPr>
          <w:rFonts w:ascii="times_new_roman" w:hAnsi="times_new_roman" w:eastAsia="times_new_roman" w:cs="times_new_roman"/>
          <w:color w:val="0E00FE"/>
          <w:kern w:val="0"/>
          <w:sz w:val="27"/>
          <w:szCs w:val="27"/>
        </w:rPr>
        <w:t>5</w:t>
      </w:r>
      <w:r>
        <w:rPr>
          <w:rFonts w:ascii="fang_song_gb2312" w:hAnsi="fang_song_gb2312" w:eastAsia="fang_song_gb2312" w:cs="fang_song_gb2312"/>
          <w:color w:val="0E00FE"/>
          <w:kern w:val="0"/>
          <w:sz w:val="27"/>
          <w:szCs w:val="27"/>
        </w:rPr>
        <w:t>个以内（含</w:t>
      </w:r>
      <w:r>
        <w:rPr>
          <w:rFonts w:ascii="times_new_roman" w:hAnsi="times_new_roman" w:eastAsia="times_new_roman" w:cs="times_new_roman"/>
          <w:color w:val="0E00FE"/>
          <w:kern w:val="0"/>
          <w:sz w:val="27"/>
          <w:szCs w:val="27"/>
        </w:rPr>
        <w:t>5</w:t>
      </w:r>
      <w:r>
        <w:rPr>
          <w:rFonts w:ascii="fang_song_gb2312" w:hAnsi="fang_song_gb2312" w:eastAsia="fang_song_gb2312" w:cs="fang_song_gb2312"/>
          <w:color w:val="0E00FE"/>
          <w:kern w:val="0"/>
          <w:sz w:val="27"/>
          <w:szCs w:val="27"/>
        </w:rPr>
        <w:t>个）据实公开，5个项目以上的，公开5个自评综述和自评表。后附：项目支出绩效自评表（样表））</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（三）部门（单位）项目绩效评价结果。</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以</w:t>
      </w:r>
      <w:r>
        <w:rPr>
          <w:rFonts w:ascii="times_new_roman" w:hAnsi="times_new_roman" w:eastAsia="times_new_roman" w:cs="times_new_roman"/>
          <w:kern w:val="0"/>
          <w:sz w:val="27"/>
          <w:szCs w:val="27"/>
        </w:rPr>
        <w:t>A</w:t>
      </w:r>
      <w:r>
        <w:rPr>
          <w:rFonts w:ascii="fang_song_gb2312" w:hAnsi="fang_song_gb2312" w:eastAsia="fang_song_gb2312" w:cs="fang_song_gb2312"/>
          <w:kern w:val="0"/>
          <w:sz w:val="27"/>
          <w:szCs w:val="27"/>
        </w:rPr>
        <w:t>项目为例，该项目绩效评价综合得分为</w:t>
      </w:r>
      <w:r>
        <w:rPr>
          <w:rFonts w:ascii="times_new_roman" w:hAnsi="times_new_roman" w:eastAsia="times_new_roman" w:cs="times_new_roman"/>
          <w:kern w:val="0"/>
          <w:sz w:val="27"/>
          <w:szCs w:val="27"/>
          <w:u w:val="single"/>
        </w:rPr>
        <w:t>XX.XX</w:t>
      </w:r>
      <w:r>
        <w:rPr>
          <w:rFonts w:ascii="fang_song_gb2312" w:hAnsi="fang_song_gb2312" w:eastAsia="fang_song_gb2312" w:cs="fang_song_gb2312"/>
          <w:kern w:val="0"/>
          <w:sz w:val="27"/>
          <w:szCs w:val="27"/>
        </w:rPr>
        <w:t>分，绩效评价结果为“优”。重点项目绩效评价得分情况详见部门（单位）具体绩效评价结果。</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（从部门评价报告选择一例报告进行公开，报告模板参考项目支出绩效管理办法关于绩效评价报告要求。）</w:t>
      </w:r>
    </w:p>
    <w:p>
      <w:pPr>
        <w:widowControl/>
        <w:spacing w:before="240" w:after="240"/>
        <w:jc w:val="left"/>
        <w:rPr>
          <w:rFonts w:ascii="Times New Roman" w:hAnsi="Times New Roman" w:eastAsia="Times New Roman" w:cs="Times New Roman"/>
          <w:kern w:val="0"/>
          <w:sz w:val="24"/>
        </w:rPr>
      </w:pPr>
    </w:p>
    <w:p>
      <w:pPr>
        <w:pStyle w:val="Heading2"/>
        <w:keepNext w:val="false"/>
        <w:keepLines w:val="false"/>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第三部分  名词解释</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一、财政拨款收入：</w:t>
      </w:r>
      <w:r>
        <w:rPr>
          <w:rFonts w:ascii="fang_song_gb2312" w:hAnsi="fang_song_gb2312" w:eastAsia="fang_song_gb2312" w:cs="fang_song_gb2312"/>
          <w:kern w:val="0"/>
          <w:sz w:val="27"/>
          <w:szCs w:val="27"/>
        </w:rPr>
        <w:t>从同级财政部门取得的各类财政拨款，包括一般公共预算财政拨款、政府性基金预算财政拨款、国有资本经营预算财政拨款。</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二、上级补助收入：</w:t>
      </w:r>
      <w:r>
        <w:rPr>
          <w:rFonts w:ascii="fang_song_gb2312" w:hAnsi="fang_song_gb2312" w:eastAsia="fang_song_gb2312" w:cs="fang_song_gb2312"/>
          <w:kern w:val="0"/>
          <w:sz w:val="27"/>
          <w:szCs w:val="27"/>
        </w:rPr>
        <w:t>指事业单位从主管部门和上级单位取得的非财政补助收入。</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三、财政专户管理教育收费：</w:t>
      </w:r>
      <w:r>
        <w:rPr>
          <w:rFonts w:ascii="fang_song_gb2312" w:hAnsi="fang_song_gb2312" w:eastAsia="fang_song_gb2312" w:cs="fang_song_gb2312"/>
          <w:kern w:val="0"/>
          <w:sz w:val="27"/>
          <w:szCs w:val="27"/>
        </w:rPr>
        <w:t>指缴入财政专户、实行专项管理的高中以上学费、住宿费、高校委托培养费、函大、电大、夜大及短训班培训费等教育收费。</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四、事业收入：</w:t>
      </w:r>
      <w:r>
        <w:rPr>
          <w:rFonts w:ascii="fang_song_gb2312" w:hAnsi="fang_song_gb2312" w:eastAsia="fang_song_gb2312" w:cs="fang_song_gb2312"/>
          <w:kern w:val="0"/>
          <w:sz w:val="27"/>
          <w:szCs w:val="27"/>
        </w:rPr>
        <w:t>指事业单位开展专业业务活动及其辅助活动取得的收入。</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五、经营收入：</w:t>
      </w:r>
      <w:r>
        <w:rPr>
          <w:rFonts w:ascii="fang_song_gb2312" w:hAnsi="fang_song_gb2312" w:eastAsia="fang_song_gb2312" w:cs="fang_song_gb2312"/>
          <w:kern w:val="0"/>
          <w:sz w:val="27"/>
          <w:szCs w:val="27"/>
        </w:rPr>
        <w:t>指事业单位在专业业务活动及其辅助活动之外开展非独立核算经营活动取得的收入。</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六、附属单位上缴收入：</w:t>
      </w:r>
      <w:r>
        <w:rPr>
          <w:rFonts w:ascii="fang_song_gb2312" w:hAnsi="fang_song_gb2312" w:eastAsia="fang_song_gb2312" w:cs="fang_song_gb2312"/>
          <w:kern w:val="0"/>
          <w:sz w:val="27"/>
          <w:szCs w:val="27"/>
        </w:rPr>
        <w:t>指事业单位取得附属独立核算单位按照有关规定上缴的收入。</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七、其他收入：</w:t>
      </w:r>
      <w:r>
        <w:rPr>
          <w:rFonts w:ascii="fang_song_gb2312" w:hAnsi="fang_song_gb2312" w:eastAsia="fang_song_gb2312" w:cs="fang_song_gb2312"/>
          <w:kern w:val="0"/>
          <w:sz w:val="27"/>
          <w:szCs w:val="27"/>
        </w:rPr>
        <w:t>取得的除上述“财政拨款收入”、“上级补助收入”、“事业收入”、“经营收入”、“附属单位上缴收入”等以外的各项收入。</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八、使用非财政拨款结余和专用结余：</w:t>
      </w:r>
      <w:r>
        <w:rPr>
          <w:rFonts w:ascii="fang_song_gb2312" w:hAnsi="fang_song_gb2312" w:eastAsia="fang_song_gb2312" w:cs="fang_song_gb2312"/>
          <w:kern w:val="0"/>
          <w:sz w:val="27"/>
          <w:szCs w:val="27"/>
        </w:rPr>
        <w:t>指事业单位按照预算管理要求使用非财政拨款结余和专用结余弥补当年收支差额的数额。</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九、年初结转和结余：</w:t>
      </w:r>
      <w:r>
        <w:rPr>
          <w:rFonts w:ascii="fang_song_gb2312" w:hAnsi="fang_song_gb2312" w:eastAsia="fang_song_gb2312" w:cs="fang_song_gb2312"/>
          <w:kern w:val="0"/>
          <w:sz w:val="27"/>
          <w:szCs w:val="27"/>
        </w:rPr>
        <w:t>指单位上年结转本年使用的基本支出结转、项目支出结转和结余、经营结余。</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十、结余分配：</w:t>
      </w:r>
      <w:r>
        <w:rPr>
          <w:rFonts w:ascii="fang_song_gb2312" w:hAnsi="fang_song_gb2312" w:eastAsia="fang_song_gb2312" w:cs="fang_song_gb2312"/>
          <w:kern w:val="0"/>
          <w:sz w:val="27"/>
          <w:szCs w:val="27"/>
        </w:rPr>
        <w:t>指事业单位按规定缴纳企业所得税以及从非财政拨款结余或经营结余中提取各类结余的情况。</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十一、年末结转和结余资金：</w:t>
      </w:r>
      <w:r>
        <w:rPr>
          <w:rFonts w:ascii="fang_song_gb2312" w:hAnsi="fang_song_gb2312" w:eastAsia="fang_song_gb2312" w:cs="fang_song_gb2312"/>
          <w:kern w:val="0"/>
          <w:sz w:val="27"/>
          <w:szCs w:val="27"/>
        </w:rPr>
        <w:t>指单位结转下年的基本支出结转、项目支出结转和结余、经营结余。</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十二、基本支出：</w:t>
      </w:r>
      <w:r>
        <w:rPr>
          <w:rFonts w:ascii="fang_song_gb2312" w:hAnsi="fang_song_gb2312" w:eastAsia="fang_song_gb2312" w:cs="fang_song_gb2312"/>
          <w:kern w:val="0"/>
          <w:sz w:val="27"/>
          <w:szCs w:val="27"/>
        </w:rPr>
        <w:t>指为保障机构正常运转、完成日常工作任务所发生的支出，包括人员经费和公用经费。</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十三、项目支出：</w:t>
      </w:r>
      <w:r>
        <w:rPr>
          <w:rFonts w:ascii="fang_song_gb2312" w:hAnsi="fang_song_gb2312" w:eastAsia="fang_song_gb2312" w:cs="fang_song_gb2312"/>
          <w:kern w:val="0"/>
          <w:sz w:val="27"/>
          <w:szCs w:val="27"/>
        </w:rPr>
        <w:t>指在为完成特定的工作任务和事业发展目标所发生的支出。</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十四、上缴上级支出：</w:t>
      </w:r>
      <w:r>
        <w:rPr>
          <w:rFonts w:ascii="fang_song_gb2312" w:hAnsi="fang_song_gb2312" w:eastAsia="fang_song_gb2312" w:cs="fang_song_gb2312"/>
          <w:kern w:val="0"/>
          <w:sz w:val="27"/>
          <w:szCs w:val="27"/>
        </w:rPr>
        <w:t>指事业单位按照财政部门和主管部门的规定上缴上级单位的支出。</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十五、经营支出：</w:t>
      </w:r>
      <w:r>
        <w:rPr>
          <w:rFonts w:ascii="fang_song_gb2312" w:hAnsi="fang_song_gb2312" w:eastAsia="fang_song_gb2312" w:cs="fang_song_gb2312"/>
          <w:kern w:val="0"/>
          <w:sz w:val="27"/>
          <w:szCs w:val="27"/>
        </w:rPr>
        <w:t>指事业单位在专业业务活动及其辅助活动之外开展非独立核算经营活动发生的支出。</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十六、对附属单位补助支出：</w:t>
      </w:r>
      <w:r>
        <w:rPr>
          <w:rFonts w:ascii="fang_song_gb2312" w:hAnsi="fang_song_gb2312" w:eastAsia="fang_song_gb2312" w:cs="fang_song_gb2312"/>
          <w:kern w:val="0"/>
          <w:sz w:val="27"/>
          <w:szCs w:val="27"/>
        </w:rPr>
        <w:t>指事业单位用财政拨款收入之外的收入对附属单位补助发生的支出。</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十七、</w:t>
      </w:r>
      <w:r>
        <w:rPr>
          <w:rFonts w:ascii="fang_song_gb2312" w:hAnsi="fang_song_gb2312" w:eastAsia="fang_song_gb2312" w:cs="fang_song_gb2312"/>
          <w:b/>
          <w:bCs/>
          <w:kern w:val="0"/>
          <w:sz w:val="27"/>
          <w:szCs w:val="27"/>
        </w:rPr>
        <w:t>“</w:t>
      </w:r>
      <w:r>
        <w:rPr>
          <w:rFonts w:ascii="fang_song_gb2312" w:hAnsi="fang_song_gb2312" w:eastAsia="fang_song_gb2312" w:cs="fang_song_gb2312"/>
          <w:b/>
          <w:bCs/>
          <w:kern w:val="0"/>
          <w:sz w:val="27"/>
          <w:szCs w:val="27"/>
        </w:rPr>
        <w:t>三公</w:t>
      </w:r>
      <w:r>
        <w:rPr>
          <w:rFonts w:ascii="fang_song_gb2312" w:hAnsi="fang_song_gb2312" w:eastAsia="fang_song_gb2312" w:cs="fang_song_gb2312"/>
          <w:b/>
          <w:bCs/>
          <w:kern w:val="0"/>
          <w:sz w:val="27"/>
          <w:szCs w:val="27"/>
        </w:rPr>
        <w:t>”</w:t>
      </w:r>
      <w:r>
        <w:rPr>
          <w:rFonts w:ascii="fang_song_gb2312" w:hAnsi="fang_song_gb2312" w:eastAsia="fang_song_gb2312" w:cs="fang_song_gb2312"/>
          <w:b/>
          <w:bCs/>
          <w:kern w:val="0"/>
          <w:sz w:val="27"/>
          <w:szCs w:val="27"/>
        </w:rPr>
        <w:t>经费：</w:t>
      </w:r>
      <w:r>
        <w:rPr>
          <w:rFonts w:ascii="fang_song_gb2312" w:hAnsi="fang_song_gb2312" w:eastAsia="fang_song_gb2312" w:cs="fang_song_gb2312"/>
          <w:kern w:val="0"/>
          <w:sz w:val="27"/>
          <w:szCs w:val="27"/>
        </w:rPr>
        <w:t>指部门（单位）用财政拨款安排的因公出国（境）费、公务用车购置及运行维护费和公务接待费。其中，因公出国（境）费反映部门（单位）)公务出国（境）的国际旅费、国外城市间交通费、住宿费、伙食费、培训费、公杂费等支出；公务用车购置及运行维护费反映部门（单位）公务用车购置支出（含车辆购置税、牌照费）以及按规定保留的公务用车燃料费、维修费、过路过桥费、保险费、安全奖励费用等支出；公务接待费反映部门（单位）按规定开支的各类公务接待（含外宾接待）费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十八、机构运行经费：</w:t>
      </w:r>
      <w:r>
        <w:rPr>
          <w:rFonts w:ascii="fang_song_gb2312" w:hAnsi="fang_song_gb2312" w:eastAsia="fang_song_gb2312" w:cs="fang_song_gb2312"/>
          <w:kern w:val="0"/>
          <w:sz w:val="27"/>
          <w:szCs w:val="27"/>
        </w:rPr>
        <w:t>指部门（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color w:val="0E00FE"/>
          <w:kern w:val="0"/>
          <w:sz w:val="27"/>
          <w:szCs w:val="27"/>
        </w:rPr>
        <w:t>    （各部门（单位）应根据公开决算表中对应的经费情况进行名词解释，对未涉及的名词可以删除）</w:t>
      </w:r>
    </w:p>
    <w:p>
      <w:pPr>
        <w:widowControl/>
        <w:spacing w:before="240" w:after="240"/>
        <w:jc w:val="left"/>
        <w:rPr>
          <w:rFonts w:ascii="Times New Roman" w:hAnsi="Times New Roman" w:eastAsia="Times New Roman" w:cs="Times New Roman"/>
          <w:kern w:val="0"/>
          <w:sz w:val="24"/>
        </w:rPr>
      </w:pPr>
    </w:p>
    <w:p>
      <w:pPr>
        <w:pStyle w:val="Heading2"/>
        <w:keepNext w:val="false"/>
        <w:keepLines w:val="false"/>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第四部分 决算公开联系方式及信息反馈渠道</w:t>
      </w: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本单位决算公开信息反馈和联系方式：</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联系人：</w:t>
      </w:r>
      <w:r>
        <w:rPr>
          <w:rFonts w:ascii="fang_song_gb2312" w:hAnsi="fang_song_gb2312" w:eastAsia="fang_song_gb2312" w:cs="fang_song_gb2312"/>
          <w:kern w:val="0"/>
          <w:sz w:val="27"/>
          <w:szCs w:val="27"/>
          <w:u w:val="single"/>
        </w:rPr>
        <w:t xml:space="preserve">吴黎黎 </w:t>
      </w:r>
      <w:r>
        <w:rPr>
          <w:rFonts w:ascii="fang_song_gb2312" w:hAnsi="fang_song_gb2312" w:eastAsia="fang_song_gb2312" w:cs="fang_song_gb2312"/>
          <w:kern w:val="0"/>
          <w:sz w:val="27"/>
          <w:szCs w:val="27"/>
        </w:rPr>
        <w:t>          联系电话：0475-8836840- </w:t>
      </w:r>
    </w:p>
    <w:p>
      <w:pPr>
        <w:widowControl/>
        <w:spacing w:before="240" w:after="240"/>
        <w:jc w:val="left"/>
        <w:rPr>
          <w:rFonts w:ascii="Times New Roman" w:hAnsi="Times New Roman" w:eastAsia="Times New Roman" w:cs="Times New Roman"/>
          <w:kern w:val="0"/>
          <w:sz w:val="24"/>
        </w:rPr>
      </w:pPr>
    </w:p>
    <w:p>
      <w:pPr>
        <w:widowControl/>
        <w:spacing w:before="240" w:after="240"/>
        <w:jc w:val="center"/>
        <w:rPr>
          <w:rFonts w:ascii="Times New Roman" w:hAnsi="Times New Roman" w:eastAsia="Times New Roman" w:cs="Times New Roman"/>
          <w:kern w:val="0"/>
          <w:sz w:val="24"/>
        </w:rPr>
      </w:pPr>
      <w:r>
        <w:rPr>
          <w:rFonts w:ascii="fang_zheng_xiao_biao_song_ti" w:hAnsi="fang_zheng_xiao_biao_song_ti" w:eastAsia="fang_zheng_xiao_biao_song_ti" w:cs="fang_zheng_xiao_biao_song_ti"/>
          <w:b/>
          <w:bCs/>
          <w:kern w:val="0"/>
          <w:sz w:val="36"/>
          <w:szCs w:val="36"/>
        </w:rPr>
        <w:t>第五部分 部门（单位）决算表</w:t>
      </w:r>
    </w:p>
    <w:p>
      <w:pPr>
        <w:widowControl/>
        <w:spacing w:before="240" w:after="240"/>
        <w:jc w:val="center"/>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见附件。1</w:t>
      </w: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rsidR="00954CD9">
      <w:pPr>
        <w:adjustRightInd w:val="false"/>
        <w:snapToGrid w:val="false"/>
        <w:rPr>
          <w:rFonts w:ascii="宋体" w:hAnsi="宋体"/>
          <w:b/>
          <w:sz w:val="32"/>
          <w:szCs w:val="32"/>
        </w:rPr>
      </w:pPr>
      <w:bookmarkEnd w:id="0"/>
    </w:p>
    <w:p w:rsidR="00954CD9" w14:paraId="16B721BE" w14:textId="77777777">
      <w:pPr>
        <w:adjustRightInd w:val="false"/>
        <w:snapToGrid w:val="false"/>
        <w:rPr>
          <w:rFonts w:ascii="宋体" w:hAnsi="宋体"/>
          <w:b/>
          <w:sz w:val="32"/>
          <w:szCs w:val="32"/>
        </w:rPr>
      </w:pPr>
    </w:p>
    <w:p w:rsidRPr="00B76620" w:rsidR="009E1EE8" w:rsidP="00667493" w14:paraId="064DC7E7" w14:textId="77777777">
      <w:pPr>
        <w:tabs>
          <w:tab w:val="left" w:pos="8415"/>
        </w:tabs>
      </w:pPr>
    </w:p>
    <w:sectPr w:rsidSect="009F0536">
      <w:footerReference w:type="default" r:id="rId6"/>
      <w:pgSz w:w="11906" w:h="16838" w:code="9"/>
      <w:pgMar w:top="1440" w:right="1083" w:bottom="1440" w:left="1083" w:header="0" w:footer="720"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jc w:val="center"/>
    </w:pPr>
    <w:r>
      <w:rPr>
        <w:rFonts w:ascii="宋体" w:eastAsia="宋体" w:hAnsi="宋体" w:cs="宋体"/>
        <w:sz w:val="18"/>
      </w:rPr>
      <w:fldChar w:fldCharType="begin"/>
    </w:r>
    <w:r>
      <w:rPr>
        <w:rFonts w:ascii="宋体" w:eastAsia="宋体" w:hAnsi="宋体" w:cs="宋体"/>
        <w:sz w:val="18"/>
      </w:rPr>
      <w:instrText xml:space="preserve"> PAGE </w:instrText>
    </w:r>
    <w:r>
      <w:rPr>
        <w:rFonts w:ascii="宋体" w:eastAsia="宋体" w:hAnsi="宋体" w:cs="宋体"/>
        <w:sz w:val="18"/>
      </w:rPr>
      <w:fldChar w:fldCharType="separate"/>
    </w:r>
    <w:r>
      <w:rPr>
        <w:rFonts w:ascii="宋体" w:eastAsia="宋体" w:hAnsi="宋体" w:cs="宋体"/>
        <w:sz w:val="18"/>
      </w:rPr>
      <w:t>1</w:t>
    </w:r>
    <w:r>
      <w:rPr>
        <w:rFonts w:ascii="宋体" w:eastAsia="宋体" w:hAnsi="宋体" w:cs="宋体"/>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308A" w14:paraId="3FF4D134" w14:textId="77777777">
    <w:pPr>
      <w:pStyle w:val="Footer"/>
      <w:jc w:val="center"/>
    </w:pPr>
    <w:r>
      <w:fldChar w:fldCharType="begin"/>
    </w:r>
    <w:r>
      <w:instrText xml:space="preserve"> PAGE   \* MERGEFORMAT </w:instrText>
    </w:r>
    <w:r>
      <w:fldChar w:fldCharType="separate"/>
    </w:r>
    <w:r w:rsidRPr="00EE533B" w:rsidR="00EE533B">
      <w:rPr>
        <w:noProof/>
        <w:lang w:val="zh-CN"/>
      </w:rPr>
      <w:t>24</w:t>
    </w:r>
    <w:r>
      <w:rPr>
        <w:noProof/>
        <w:lang w:val="zh-CN"/>
      </w:rPr>
      <w:fldChar w:fldCharType="end"/>
    </w:r>
  </w:p>
  <w:p w:rsidR="00AB013A" w14:paraId="2E0A9122" w14:textId="77777777">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4AD236D"/>
    <w:multiLevelType w:val="hybridMultilevel"/>
    <w:tmpl w:val="2D28D106"/>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B8F6C5F"/>
    <w:multiLevelType w:val="hybridMultilevel"/>
    <w:tmpl w:val="00806DC4"/>
    <w:lvl w:ilvl="0">
      <w:start w:val="2"/>
      <w:numFmt w:val="decimalEnclosedCircle"/>
      <w:lvlText w:val="%1"/>
      <w:lvlJc w:val="left"/>
      <w:pPr>
        <w:ind w:left="920" w:hanging="360"/>
      </w:pPr>
      <w:rPr>
        <w:rFonts w:hint="default"/>
      </w:rPr>
    </w:lvl>
    <w:lvl w:ilvl="1" w:tentative="1">
      <w:start w:val="1"/>
      <w:numFmt w:val="lowerLetter"/>
      <w:lvlText w:val="%2)"/>
      <w:lvlJc w:val="left"/>
      <w:pPr>
        <w:ind w:left="1400" w:hanging="420"/>
      </w:pPr>
    </w:lvl>
    <w:lvl w:ilvl="2" w:tentative="1">
      <w:start w:val="1"/>
      <w:numFmt w:val="lowerRoman"/>
      <w:lvlText w:val="%3."/>
      <w:lvlJc w:val="right"/>
      <w:pPr>
        <w:ind w:left="1820" w:hanging="420"/>
      </w:pPr>
    </w:lvl>
    <w:lvl w:ilvl="3" w:tentative="1">
      <w:start w:val="1"/>
      <w:numFmt w:val="decimal"/>
      <w:lvlText w:val="%4."/>
      <w:lvlJc w:val="left"/>
      <w:pPr>
        <w:ind w:left="2240" w:hanging="420"/>
      </w:pPr>
    </w:lvl>
    <w:lvl w:ilvl="4" w:tentative="1">
      <w:start w:val="1"/>
      <w:numFmt w:val="lowerLetter"/>
      <w:lvlText w:val="%5)"/>
      <w:lvlJc w:val="left"/>
      <w:pPr>
        <w:ind w:left="2660" w:hanging="420"/>
      </w:pPr>
    </w:lvl>
    <w:lvl w:ilvl="5" w:tentative="1">
      <w:start w:val="1"/>
      <w:numFmt w:val="lowerRoman"/>
      <w:lvlText w:val="%6."/>
      <w:lvlJc w:val="right"/>
      <w:pPr>
        <w:ind w:left="3080" w:hanging="420"/>
      </w:pPr>
    </w:lvl>
    <w:lvl w:ilvl="6" w:tentative="1">
      <w:start w:val="1"/>
      <w:numFmt w:val="decimal"/>
      <w:lvlText w:val="%7."/>
      <w:lvlJc w:val="left"/>
      <w:pPr>
        <w:ind w:left="3500" w:hanging="420"/>
      </w:pPr>
    </w:lvl>
    <w:lvl w:ilvl="7" w:tentative="1">
      <w:start w:val="1"/>
      <w:numFmt w:val="lowerLetter"/>
      <w:lvlText w:val="%8)"/>
      <w:lvlJc w:val="left"/>
      <w:pPr>
        <w:ind w:left="3920" w:hanging="420"/>
      </w:pPr>
    </w:lvl>
    <w:lvl w:ilvl="8" w:tentative="1">
      <w:start w:val="1"/>
      <w:numFmt w:val="lowerRoman"/>
      <w:lvlText w:val="%9."/>
      <w:lvlJc w:val="right"/>
      <w:pPr>
        <w:ind w:left="4340" w:hanging="420"/>
      </w:pPr>
    </w:lvl>
  </w:abstractNum>
  <w:abstractNum w:abstractNumId="2">
    <w:nsid w:val="1C077691"/>
    <w:multiLevelType w:val="hybridMultilevel"/>
    <w:tmpl w:val="12EC6794"/>
    <w:lvl w:ilvl="0">
      <w:start w:val="1"/>
      <w:numFmt w:val="japaneseCounting"/>
      <w:lvlText w:val="%1、"/>
      <w:lvlJc w:val="left"/>
      <w:pPr>
        <w:ind w:left="672" w:hanging="672"/>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28795DEE"/>
    <w:multiLevelType w:val="hybridMultilevel"/>
    <w:tmpl w:val="99922276"/>
    <w:lvl w:ilvl="0">
      <w:start w:val="1"/>
      <w:numFmt w:val="japaneseCounting"/>
      <w:lvlText w:val="（%1）"/>
      <w:lvlJc w:val="left"/>
      <w:pPr>
        <w:ind w:left="936" w:hanging="936"/>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35135E81"/>
    <w:multiLevelType w:val="hybridMultilevel"/>
    <w:tmpl w:val="517EB330"/>
    <w:lvl w:ilvl="0">
      <w:start w:val="1"/>
      <w:numFmt w:val="japaneseCounting"/>
      <w:lvlText w:val="（%1）"/>
      <w:lvlJc w:val="left"/>
      <w:pPr>
        <w:ind w:left="936" w:hanging="936"/>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37474F8B"/>
    <w:multiLevelType w:val="hybridMultilevel"/>
    <w:tmpl w:val="5C58F830"/>
    <w:lvl w:ilvl="0">
      <w:start w:val="2"/>
      <w:numFmt w:val="decimalEnclosedCircle"/>
      <w:lvlText w:val="%1"/>
      <w:lvlJc w:val="left"/>
      <w:pPr>
        <w:ind w:left="920" w:hanging="360"/>
      </w:pPr>
      <w:rPr>
        <w:rFonts w:hint="default"/>
      </w:rPr>
    </w:lvl>
    <w:lvl w:ilvl="1" w:tentative="1">
      <w:start w:val="1"/>
      <w:numFmt w:val="lowerLetter"/>
      <w:lvlText w:val="%2)"/>
      <w:lvlJc w:val="left"/>
      <w:pPr>
        <w:ind w:left="1400" w:hanging="420"/>
      </w:pPr>
    </w:lvl>
    <w:lvl w:ilvl="2" w:tentative="1">
      <w:start w:val="1"/>
      <w:numFmt w:val="lowerRoman"/>
      <w:lvlText w:val="%3."/>
      <w:lvlJc w:val="right"/>
      <w:pPr>
        <w:ind w:left="1820" w:hanging="420"/>
      </w:pPr>
    </w:lvl>
    <w:lvl w:ilvl="3" w:tentative="1">
      <w:start w:val="1"/>
      <w:numFmt w:val="decimal"/>
      <w:lvlText w:val="%4."/>
      <w:lvlJc w:val="left"/>
      <w:pPr>
        <w:ind w:left="2240" w:hanging="420"/>
      </w:pPr>
    </w:lvl>
    <w:lvl w:ilvl="4" w:tentative="1">
      <w:start w:val="1"/>
      <w:numFmt w:val="lowerLetter"/>
      <w:lvlText w:val="%5)"/>
      <w:lvlJc w:val="left"/>
      <w:pPr>
        <w:ind w:left="2660" w:hanging="420"/>
      </w:pPr>
    </w:lvl>
    <w:lvl w:ilvl="5" w:tentative="1">
      <w:start w:val="1"/>
      <w:numFmt w:val="lowerRoman"/>
      <w:lvlText w:val="%6."/>
      <w:lvlJc w:val="right"/>
      <w:pPr>
        <w:ind w:left="3080" w:hanging="420"/>
      </w:pPr>
    </w:lvl>
    <w:lvl w:ilvl="6" w:tentative="1">
      <w:start w:val="1"/>
      <w:numFmt w:val="decimal"/>
      <w:lvlText w:val="%7."/>
      <w:lvlJc w:val="left"/>
      <w:pPr>
        <w:ind w:left="3500" w:hanging="420"/>
      </w:pPr>
    </w:lvl>
    <w:lvl w:ilvl="7" w:tentative="1">
      <w:start w:val="1"/>
      <w:numFmt w:val="lowerLetter"/>
      <w:lvlText w:val="%8)"/>
      <w:lvlJc w:val="left"/>
      <w:pPr>
        <w:ind w:left="3920" w:hanging="420"/>
      </w:pPr>
    </w:lvl>
    <w:lvl w:ilvl="8" w:tentative="1">
      <w:start w:val="1"/>
      <w:numFmt w:val="lowerRoman"/>
      <w:lvlText w:val="%9."/>
      <w:lvlJc w:val="right"/>
      <w:pPr>
        <w:ind w:left="4340" w:hanging="420"/>
      </w:pPr>
    </w:lvl>
  </w:abstractNum>
  <w:abstractNum w:abstractNumId="6">
    <w:nsid w:val="3EBF5782"/>
    <w:multiLevelType w:val="hybridMultilevel"/>
    <w:tmpl w:val="B20C24EC"/>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nsid w:val="616E0525"/>
    <w:multiLevelType w:val="hybridMultilevel"/>
    <w:tmpl w:val="FFFCEBF2"/>
    <w:lvl w:ilvl="0">
      <w:start w:val="1"/>
      <w:numFmt w:val="decimalEnclosedCircle"/>
      <w:lvlText w:val="%1"/>
      <w:lvlJc w:val="left"/>
      <w:pPr>
        <w:ind w:left="920" w:hanging="360"/>
      </w:pPr>
      <w:rPr>
        <w:rFonts w:hint="default"/>
      </w:rPr>
    </w:lvl>
    <w:lvl w:ilvl="1" w:tentative="1">
      <w:start w:val="1"/>
      <w:numFmt w:val="lowerLetter"/>
      <w:lvlText w:val="%2)"/>
      <w:lvlJc w:val="left"/>
      <w:pPr>
        <w:ind w:left="1400" w:hanging="420"/>
      </w:pPr>
    </w:lvl>
    <w:lvl w:ilvl="2" w:tentative="1">
      <w:start w:val="1"/>
      <w:numFmt w:val="lowerRoman"/>
      <w:lvlText w:val="%3."/>
      <w:lvlJc w:val="right"/>
      <w:pPr>
        <w:ind w:left="1820" w:hanging="420"/>
      </w:pPr>
    </w:lvl>
    <w:lvl w:ilvl="3" w:tentative="1">
      <w:start w:val="1"/>
      <w:numFmt w:val="decimal"/>
      <w:lvlText w:val="%4."/>
      <w:lvlJc w:val="left"/>
      <w:pPr>
        <w:ind w:left="2240" w:hanging="420"/>
      </w:pPr>
    </w:lvl>
    <w:lvl w:ilvl="4" w:tentative="1">
      <w:start w:val="1"/>
      <w:numFmt w:val="lowerLetter"/>
      <w:lvlText w:val="%5)"/>
      <w:lvlJc w:val="left"/>
      <w:pPr>
        <w:ind w:left="2660" w:hanging="420"/>
      </w:pPr>
    </w:lvl>
    <w:lvl w:ilvl="5" w:tentative="1">
      <w:start w:val="1"/>
      <w:numFmt w:val="lowerRoman"/>
      <w:lvlText w:val="%6."/>
      <w:lvlJc w:val="right"/>
      <w:pPr>
        <w:ind w:left="3080" w:hanging="420"/>
      </w:pPr>
    </w:lvl>
    <w:lvl w:ilvl="6" w:tentative="1">
      <w:start w:val="1"/>
      <w:numFmt w:val="decimal"/>
      <w:lvlText w:val="%7."/>
      <w:lvlJc w:val="left"/>
      <w:pPr>
        <w:ind w:left="3500" w:hanging="420"/>
      </w:pPr>
    </w:lvl>
    <w:lvl w:ilvl="7" w:tentative="1">
      <w:start w:val="1"/>
      <w:numFmt w:val="lowerLetter"/>
      <w:lvlText w:val="%8)"/>
      <w:lvlJc w:val="left"/>
      <w:pPr>
        <w:ind w:left="3920" w:hanging="420"/>
      </w:pPr>
    </w:lvl>
    <w:lvl w:ilvl="8" w:tentative="1">
      <w:start w:val="1"/>
      <w:numFmt w:val="lowerRoman"/>
      <w:lvlText w:val="%9."/>
      <w:lvlJc w:val="right"/>
      <w:pPr>
        <w:ind w:left="4340" w:hanging="420"/>
      </w:pPr>
    </w:lvl>
  </w:abstractNum>
  <w:abstractNum w:abstractNumId="8">
    <w:nsid w:val="64321C7D"/>
    <w:multiLevelType w:val="hybridMultilevel"/>
    <w:tmpl w:val="45402EF4"/>
    <w:lvl w:ilvl="0">
      <w:start w:val="1"/>
      <w:numFmt w:val="decimalEnclosedCircle"/>
      <w:lvlText w:val="%1"/>
      <w:lvlJc w:val="left"/>
      <w:pPr>
        <w:ind w:left="900" w:hanging="360"/>
      </w:pPr>
      <w:rPr>
        <w:rFonts w:hint="default"/>
      </w:rPr>
    </w:lvl>
    <w:lvl w:ilvl="1" w:tentative="1">
      <w:start w:val="1"/>
      <w:numFmt w:val="lowerLetter"/>
      <w:lvlText w:val="%2)"/>
      <w:lvlJc w:val="left"/>
      <w:pPr>
        <w:ind w:left="1380" w:hanging="420"/>
      </w:pPr>
    </w:lvl>
    <w:lvl w:ilvl="2" w:tentative="1">
      <w:start w:val="1"/>
      <w:numFmt w:val="lowerRoman"/>
      <w:lvlText w:val="%3."/>
      <w:lvlJc w:val="right"/>
      <w:pPr>
        <w:ind w:left="1800" w:hanging="420"/>
      </w:pPr>
    </w:lvl>
    <w:lvl w:ilvl="3" w:tentative="1">
      <w:start w:val="1"/>
      <w:numFmt w:val="decimal"/>
      <w:lvlText w:val="%4."/>
      <w:lvlJc w:val="left"/>
      <w:pPr>
        <w:ind w:left="2220" w:hanging="420"/>
      </w:pPr>
    </w:lvl>
    <w:lvl w:ilvl="4" w:tentative="1">
      <w:start w:val="1"/>
      <w:numFmt w:val="lowerLetter"/>
      <w:lvlText w:val="%5)"/>
      <w:lvlJc w:val="left"/>
      <w:pPr>
        <w:ind w:left="2640" w:hanging="420"/>
      </w:pPr>
    </w:lvl>
    <w:lvl w:ilvl="5" w:tentative="1">
      <w:start w:val="1"/>
      <w:numFmt w:val="lowerRoman"/>
      <w:lvlText w:val="%6."/>
      <w:lvlJc w:val="right"/>
      <w:pPr>
        <w:ind w:left="3060" w:hanging="420"/>
      </w:pPr>
    </w:lvl>
    <w:lvl w:ilvl="6" w:tentative="1">
      <w:start w:val="1"/>
      <w:numFmt w:val="decimal"/>
      <w:lvlText w:val="%7."/>
      <w:lvlJc w:val="left"/>
      <w:pPr>
        <w:ind w:left="3480" w:hanging="420"/>
      </w:pPr>
    </w:lvl>
    <w:lvl w:ilvl="7" w:tentative="1">
      <w:start w:val="1"/>
      <w:numFmt w:val="lowerLetter"/>
      <w:lvlText w:val="%8)"/>
      <w:lvlJc w:val="left"/>
      <w:pPr>
        <w:ind w:left="3900" w:hanging="420"/>
      </w:pPr>
    </w:lvl>
    <w:lvl w:ilvl="8" w:tentative="1">
      <w:start w:val="1"/>
      <w:numFmt w:val="lowerRoman"/>
      <w:lvlText w:val="%9."/>
      <w:lvlJc w:val="right"/>
      <w:pPr>
        <w:ind w:left="4320" w:hanging="420"/>
      </w:pPr>
    </w:lvl>
  </w:abstractNum>
  <w:abstractNum w:abstractNumId="9">
    <w:nsid w:val="6F63769C"/>
    <w:multiLevelType w:val="hybridMultilevel"/>
    <w:tmpl w:val="EBB8B166"/>
    <w:lvl w:ilvl="0">
      <w:start w:val="1"/>
      <w:numFmt w:val="decimalEnclosedCircle"/>
      <w:lvlText w:val="%1"/>
      <w:lvlJc w:val="left"/>
      <w:pPr>
        <w:ind w:left="920" w:hanging="360"/>
      </w:pPr>
      <w:rPr>
        <w:rFonts w:hint="default"/>
      </w:rPr>
    </w:lvl>
    <w:lvl w:ilvl="1" w:tentative="1">
      <w:start w:val="1"/>
      <w:numFmt w:val="lowerLetter"/>
      <w:lvlText w:val="%2)"/>
      <w:lvlJc w:val="left"/>
      <w:pPr>
        <w:ind w:left="1400" w:hanging="420"/>
      </w:pPr>
    </w:lvl>
    <w:lvl w:ilvl="2" w:tentative="1">
      <w:start w:val="1"/>
      <w:numFmt w:val="lowerRoman"/>
      <w:lvlText w:val="%3."/>
      <w:lvlJc w:val="right"/>
      <w:pPr>
        <w:ind w:left="1820" w:hanging="420"/>
      </w:pPr>
    </w:lvl>
    <w:lvl w:ilvl="3" w:tentative="1">
      <w:start w:val="1"/>
      <w:numFmt w:val="decimal"/>
      <w:lvlText w:val="%4."/>
      <w:lvlJc w:val="left"/>
      <w:pPr>
        <w:ind w:left="2240" w:hanging="420"/>
      </w:pPr>
    </w:lvl>
    <w:lvl w:ilvl="4" w:tentative="1">
      <w:start w:val="1"/>
      <w:numFmt w:val="lowerLetter"/>
      <w:lvlText w:val="%5)"/>
      <w:lvlJc w:val="left"/>
      <w:pPr>
        <w:ind w:left="2660" w:hanging="420"/>
      </w:pPr>
    </w:lvl>
    <w:lvl w:ilvl="5" w:tentative="1">
      <w:start w:val="1"/>
      <w:numFmt w:val="lowerRoman"/>
      <w:lvlText w:val="%6."/>
      <w:lvlJc w:val="right"/>
      <w:pPr>
        <w:ind w:left="3080" w:hanging="420"/>
      </w:pPr>
    </w:lvl>
    <w:lvl w:ilvl="6" w:tentative="1">
      <w:start w:val="1"/>
      <w:numFmt w:val="decimal"/>
      <w:lvlText w:val="%7."/>
      <w:lvlJc w:val="left"/>
      <w:pPr>
        <w:ind w:left="3500" w:hanging="420"/>
      </w:pPr>
    </w:lvl>
    <w:lvl w:ilvl="7" w:tentative="1">
      <w:start w:val="1"/>
      <w:numFmt w:val="lowerLetter"/>
      <w:lvlText w:val="%8)"/>
      <w:lvlJc w:val="left"/>
      <w:pPr>
        <w:ind w:left="3920" w:hanging="420"/>
      </w:pPr>
    </w:lvl>
    <w:lvl w:ilvl="8" w:tentative="1">
      <w:start w:val="1"/>
      <w:numFmt w:val="lowerRoman"/>
      <w:lvlText w:val="%9."/>
      <w:lvlJc w:val="right"/>
      <w:pPr>
        <w:ind w:left="4340" w:hanging="420"/>
      </w:pPr>
    </w:lvl>
  </w:abstractNum>
  <w:num w:numId="1">
    <w:abstractNumId w:val="8"/>
  </w:num>
  <w:num w:numId="2">
    <w:abstractNumId w:val="7"/>
  </w:num>
  <w:num w:numId="3">
    <w:abstractNumId w:val="5"/>
  </w:num>
  <w:num w:numId="4">
    <w:abstractNumId w:val="1"/>
  </w:num>
  <w:num w:numId="5">
    <w:abstractNumId w:val="9"/>
  </w:num>
  <w:num w:numId="6">
    <w:abstractNumId w:val="0"/>
  </w:num>
  <w:num w:numId="7">
    <w:abstractNumId w:val="2"/>
  </w:num>
  <w:num w:numId="8">
    <w:abstractNumId w:val="4"/>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536"/>
    <w:rsid w:val="0000662F"/>
    <w:rsid w:val="00023E75"/>
    <w:rsid w:val="00033C6A"/>
    <w:rsid w:val="00063AC2"/>
    <w:rsid w:val="000774F0"/>
    <w:rsid w:val="0008308B"/>
    <w:rsid w:val="00097269"/>
    <w:rsid w:val="000A769F"/>
    <w:rsid w:val="000D3889"/>
    <w:rsid w:val="0010682D"/>
    <w:rsid w:val="001620BF"/>
    <w:rsid w:val="001814D4"/>
    <w:rsid w:val="00183373"/>
    <w:rsid w:val="001E7634"/>
    <w:rsid w:val="00204509"/>
    <w:rsid w:val="00225D2E"/>
    <w:rsid w:val="0023107E"/>
    <w:rsid w:val="00233241"/>
    <w:rsid w:val="00297C52"/>
    <w:rsid w:val="00300987"/>
    <w:rsid w:val="0030784F"/>
    <w:rsid w:val="00312846"/>
    <w:rsid w:val="00367870"/>
    <w:rsid w:val="00375E79"/>
    <w:rsid w:val="003A4E85"/>
    <w:rsid w:val="003B3EAA"/>
    <w:rsid w:val="00482D36"/>
    <w:rsid w:val="00490629"/>
    <w:rsid w:val="0049507B"/>
    <w:rsid w:val="004A738F"/>
    <w:rsid w:val="004B1589"/>
    <w:rsid w:val="004B721F"/>
    <w:rsid w:val="004D7065"/>
    <w:rsid w:val="004E0B6C"/>
    <w:rsid w:val="005011E1"/>
    <w:rsid w:val="00505A51"/>
    <w:rsid w:val="0051384E"/>
    <w:rsid w:val="00521603"/>
    <w:rsid w:val="00536012"/>
    <w:rsid w:val="0054657E"/>
    <w:rsid w:val="0059054F"/>
    <w:rsid w:val="00596608"/>
    <w:rsid w:val="005B4139"/>
    <w:rsid w:val="005C13AB"/>
    <w:rsid w:val="00667493"/>
    <w:rsid w:val="006C017F"/>
    <w:rsid w:val="006E7255"/>
    <w:rsid w:val="007003B2"/>
    <w:rsid w:val="007402A0"/>
    <w:rsid w:val="00762248"/>
    <w:rsid w:val="00787000"/>
    <w:rsid w:val="007A7BA5"/>
    <w:rsid w:val="007B6706"/>
    <w:rsid w:val="007C1FDD"/>
    <w:rsid w:val="007D6292"/>
    <w:rsid w:val="00857D98"/>
    <w:rsid w:val="00894C48"/>
    <w:rsid w:val="00896385"/>
    <w:rsid w:val="008A10DB"/>
    <w:rsid w:val="008B5455"/>
    <w:rsid w:val="009125DD"/>
    <w:rsid w:val="00954CD9"/>
    <w:rsid w:val="009A5EF3"/>
    <w:rsid w:val="009D6904"/>
    <w:rsid w:val="009E1EE8"/>
    <w:rsid w:val="009E227B"/>
    <w:rsid w:val="009E308A"/>
    <w:rsid w:val="009F0536"/>
    <w:rsid w:val="00A147CF"/>
    <w:rsid w:val="00A270BE"/>
    <w:rsid w:val="00A36C1D"/>
    <w:rsid w:val="00A517A0"/>
    <w:rsid w:val="00A62486"/>
    <w:rsid w:val="00AB013A"/>
    <w:rsid w:val="00AD11A5"/>
    <w:rsid w:val="00AE47F5"/>
    <w:rsid w:val="00AF5F33"/>
    <w:rsid w:val="00B27D51"/>
    <w:rsid w:val="00B32BEE"/>
    <w:rsid w:val="00B373AF"/>
    <w:rsid w:val="00B4208A"/>
    <w:rsid w:val="00B57D7A"/>
    <w:rsid w:val="00B76620"/>
    <w:rsid w:val="00B840CE"/>
    <w:rsid w:val="00B96C3D"/>
    <w:rsid w:val="00BD0928"/>
    <w:rsid w:val="00BE5F73"/>
    <w:rsid w:val="00BF4228"/>
    <w:rsid w:val="00C07A30"/>
    <w:rsid w:val="00C352FF"/>
    <w:rsid w:val="00C44231"/>
    <w:rsid w:val="00CC6B8B"/>
    <w:rsid w:val="00CD3751"/>
    <w:rsid w:val="00D2051A"/>
    <w:rsid w:val="00D96390"/>
    <w:rsid w:val="00E219E7"/>
    <w:rsid w:val="00E60D6A"/>
    <w:rsid w:val="00E73321"/>
    <w:rsid w:val="00E77EC0"/>
    <w:rsid w:val="00E914C1"/>
    <w:rsid w:val="00E97C37"/>
    <w:rsid w:val="00EE533B"/>
    <w:rsid w:val="00F04882"/>
    <w:rsid w:val="00F63327"/>
    <w:rsid w:val="00F80A29"/>
    <w:rsid w:val="00FA7CA5"/>
    <w:rsid w:val="00FD08EC"/>
    <w:rsid w:val="00FD769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F490337B-303E-4E2E-9905-12A9EEF18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208A"/>
    <w:pPr>
      <w:widowControl w:val="0"/>
      <w:jc w:val="both"/>
    </w:pPr>
    <w:rPr>
      <w:kern w:val="2"/>
      <w:sz w:val="21"/>
      <w:szCs w:val="24"/>
    </w:rPr>
  </w:style>
  <w:style w:type="paragraph" w:styleId="Heading1">
    <w:name w:val="heading 1"/>
    <w:basedOn w:val="Normal"/>
    <w:next w:val="Normal"/>
    <w:qFormat/>
    <w:rsid w:val="001B6346"/>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B828A5"/>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
    <w:qFormat/>
    <w:rsid w:val="00B828A5"/>
    <w:pPr>
      <w:keepNext/>
      <w:keepLines/>
      <w:spacing w:before="260" w:after="260" w:line="416" w:lineRule="auto"/>
      <w:outlineLvl w:val="2"/>
    </w:pPr>
    <w:rPr>
      <w:b/>
      <w:bCs/>
      <w:sz w:val="32"/>
      <w:szCs w:val="32"/>
    </w:rPr>
  </w:style>
  <w:style w:type="paragraph" w:styleId="Heading4">
    <w:name w:val="heading 4"/>
    <w:basedOn w:val="Normal"/>
    <w:next w:val="Normal"/>
    <w:link w:val="4"/>
    <w:qFormat/>
    <w:rsid w:val="005011E1"/>
    <w:pPr>
      <w:keepNext/>
      <w:keepLines/>
      <w:spacing w:before="280" w:after="290" w:line="376" w:lineRule="auto"/>
      <w:outlineLvl w:val="3"/>
    </w:pPr>
    <w:rPr>
      <w:rFonts w:ascii="Cambria" w:hAnsi="Cambri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rsid w:val="001B6346"/>
    <w:pPr>
      <w:shd w:val="clear" w:color="auto" w:fill="000080"/>
    </w:pPr>
  </w:style>
  <w:style w:type="paragraph" w:styleId="Footer">
    <w:name w:val="footer"/>
    <w:basedOn w:val="Normal"/>
    <w:link w:val="a1"/>
    <w:rsid w:val="00267135"/>
    <w:pPr>
      <w:tabs>
        <w:tab w:val="center" w:pos="4153"/>
        <w:tab w:val="right" w:pos="8306"/>
      </w:tabs>
      <w:snapToGrid w:val="0"/>
      <w:jc w:val="left"/>
    </w:pPr>
    <w:rPr>
      <w:sz w:val="18"/>
      <w:szCs w:val="18"/>
    </w:rPr>
  </w:style>
  <w:style w:type="character" w:styleId="PageNumber">
    <w:name w:val="page number"/>
    <w:basedOn w:val="DefaultParagraphFont"/>
    <w:rsid w:val="00267135"/>
  </w:style>
  <w:style w:type="paragraph" w:styleId="Header">
    <w:name w:val="header"/>
    <w:basedOn w:val="Normal"/>
    <w:rsid w:val="008D6793"/>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rsid w:val="00615F49"/>
    <w:pPr>
      <w:adjustRightInd w:val="0"/>
      <w:snapToGrid w:val="0"/>
      <w:spacing w:line="360" w:lineRule="auto"/>
      <w:jc w:val="left"/>
    </w:pPr>
    <w:rPr>
      <w:b/>
      <w:bCs/>
      <w:sz w:val="24"/>
      <w:szCs w:val="20"/>
    </w:rPr>
  </w:style>
  <w:style w:type="paragraph" w:styleId="TOC2">
    <w:name w:val="toc 2"/>
    <w:basedOn w:val="Normal"/>
    <w:next w:val="Normal"/>
    <w:rsid w:val="00076EF0"/>
    <w:pPr>
      <w:adjustRightInd w:val="0"/>
      <w:snapToGrid w:val="0"/>
      <w:spacing w:line="360" w:lineRule="auto"/>
      <w:ind w:firstLine="200" w:firstLineChars="200"/>
      <w:jc w:val="left"/>
    </w:pPr>
    <w:rPr>
      <w:iCs/>
      <w:sz w:val="24"/>
      <w:szCs w:val="20"/>
    </w:rPr>
  </w:style>
  <w:style w:type="paragraph" w:styleId="TOC3">
    <w:name w:val="toc 3"/>
    <w:basedOn w:val="Normal"/>
    <w:next w:val="Normal"/>
    <w:rsid w:val="00076EF0"/>
    <w:pPr>
      <w:adjustRightInd w:val="0"/>
      <w:snapToGrid w:val="0"/>
      <w:spacing w:line="360" w:lineRule="auto"/>
      <w:ind w:firstLine="400" w:firstLineChars="400"/>
      <w:jc w:val="left"/>
    </w:pPr>
    <w:rPr>
      <w:sz w:val="24"/>
      <w:szCs w:val="20"/>
    </w:rPr>
  </w:style>
  <w:style w:type="character" w:styleId="Hyperlink">
    <w:name w:val="Hyperlink"/>
    <w:basedOn w:val="DefaultParagraphFont"/>
    <w:rsid w:val="00B92FCB"/>
    <w:rPr>
      <w:color w:val="0000FF"/>
      <w:u w:val="single"/>
    </w:rPr>
  </w:style>
  <w:style w:type="paragraph" w:styleId="TOC4">
    <w:name w:val="toc 4"/>
    <w:basedOn w:val="Normal"/>
    <w:next w:val="Normal"/>
    <w:autoRedefine/>
    <w:rsid w:val="00615F49"/>
    <w:pPr>
      <w:ind w:left="630"/>
      <w:jc w:val="left"/>
    </w:pPr>
    <w:rPr>
      <w:sz w:val="20"/>
      <w:szCs w:val="20"/>
    </w:rPr>
  </w:style>
  <w:style w:type="paragraph" w:styleId="TOC5">
    <w:name w:val="toc 5"/>
    <w:basedOn w:val="Normal"/>
    <w:next w:val="Normal"/>
    <w:autoRedefine/>
    <w:rsid w:val="00615F49"/>
    <w:pPr>
      <w:ind w:left="840"/>
      <w:jc w:val="left"/>
    </w:pPr>
    <w:rPr>
      <w:sz w:val="20"/>
      <w:szCs w:val="20"/>
    </w:rPr>
  </w:style>
  <w:style w:type="paragraph" w:styleId="TOC6">
    <w:name w:val="toc 6"/>
    <w:basedOn w:val="Normal"/>
    <w:next w:val="Normal"/>
    <w:autoRedefine/>
    <w:rsid w:val="00615F49"/>
    <w:pPr>
      <w:ind w:left="1050"/>
      <w:jc w:val="left"/>
    </w:pPr>
    <w:rPr>
      <w:sz w:val="20"/>
      <w:szCs w:val="20"/>
    </w:rPr>
  </w:style>
  <w:style w:type="paragraph" w:styleId="TOC7">
    <w:name w:val="toc 7"/>
    <w:basedOn w:val="Normal"/>
    <w:next w:val="Normal"/>
    <w:autoRedefine/>
    <w:rsid w:val="00615F49"/>
    <w:pPr>
      <w:ind w:left="1260"/>
      <w:jc w:val="left"/>
    </w:pPr>
    <w:rPr>
      <w:sz w:val="20"/>
      <w:szCs w:val="20"/>
    </w:rPr>
  </w:style>
  <w:style w:type="paragraph" w:styleId="TOC8">
    <w:name w:val="toc 8"/>
    <w:basedOn w:val="Normal"/>
    <w:next w:val="Normal"/>
    <w:autoRedefine/>
    <w:rsid w:val="00615F49"/>
    <w:pPr>
      <w:ind w:left="1470"/>
      <w:jc w:val="left"/>
    </w:pPr>
    <w:rPr>
      <w:sz w:val="20"/>
      <w:szCs w:val="20"/>
    </w:rPr>
  </w:style>
  <w:style w:type="paragraph" w:styleId="TOC9">
    <w:name w:val="toc 9"/>
    <w:basedOn w:val="Normal"/>
    <w:next w:val="Normal"/>
    <w:autoRedefine/>
    <w:rsid w:val="00615F49"/>
    <w:pPr>
      <w:ind w:left="1680"/>
      <w:jc w:val="left"/>
    </w:pPr>
    <w:rPr>
      <w:sz w:val="20"/>
      <w:szCs w:val="20"/>
    </w:rPr>
  </w:style>
  <w:style w:type="character" w:customStyle="1" w:styleId="4">
    <w:name w:val="标题 4 字符"/>
    <w:basedOn w:val="DefaultParagraphFont"/>
    <w:link w:val="Heading4"/>
    <w:rsid w:val="005011E1"/>
    <w:rPr>
      <w:rFonts w:ascii="Cambria" w:hAnsi="Cambria"/>
      <w:b/>
      <w:bCs/>
      <w:kern w:val="2"/>
      <w:sz w:val="28"/>
      <w:szCs w:val="28"/>
    </w:rPr>
  </w:style>
  <w:style w:type="paragraph" w:styleId="NoSpacing">
    <w:name w:val="No Spacing"/>
    <w:aliases w:val="No Spacing_0,文字正文"/>
    <w:link w:val="a"/>
    <w:qFormat/>
    <w:rsid w:val="005011E1"/>
    <w:pPr>
      <w:ind w:firstLine="200" w:firstLineChars="200"/>
    </w:pPr>
    <w:rPr>
      <w:rFonts w:eastAsia="仿宋_GB2312"/>
      <w:sz w:val="30"/>
      <w:szCs w:val="22"/>
    </w:rPr>
  </w:style>
  <w:style w:type="character" w:customStyle="1" w:styleId="a">
    <w:name w:val="无间隔 字符"/>
    <w:aliases w:val="No Spacing 字符,文字正文 字符"/>
    <w:link w:val="NoSpacing"/>
    <w:locked/>
    <w:rsid w:val="005011E1"/>
    <w:rPr>
      <w:rFonts w:eastAsia="仿宋_GB2312"/>
      <w:sz w:val="30"/>
      <w:szCs w:val="22"/>
      <w:lang w:bidi="ar-SA"/>
    </w:rPr>
  </w:style>
  <w:style w:type="character" w:customStyle="1" w:styleId="a1">
    <w:name w:val="页脚 字符"/>
    <w:basedOn w:val="DefaultParagraphFont"/>
    <w:link w:val="Footer"/>
    <w:rsid w:val="009E308A"/>
    <w:rPr>
      <w:kern w:val="2"/>
      <w:sz w:val="18"/>
      <w:szCs w:val="18"/>
    </w:rPr>
  </w:style>
  <w:style w:type="paragraph" w:styleId="ListParagraph">
    <w:name w:val="List Paragraph"/>
    <w:basedOn w:val="Normal"/>
    <w:qFormat/>
    <w:rsid w:val="00B4208A"/>
    <w:pPr>
      <w:ind w:firstLine="420" w:firstLineChars="200"/>
    </w:pPr>
  </w:style>
  <w:style w:type="character" w:customStyle="1" w:styleId="3">
    <w:name w:val="标题 3 字符"/>
    <w:basedOn w:val="DefaultParagraphFont"/>
    <w:link w:val="Heading3"/>
    <w:rsid w:val="00B4208A"/>
    <w:rPr>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
    <Relationship Target="settings.xml" Type="http://schemas.openxmlformats.org/officeDocument/2006/relationships/settings" Id="rId1"/>
    <Relationship Target="webSettings.xml" Type="http://schemas.openxmlformats.org/officeDocument/2006/relationships/webSettings" Id="rId2"/>
    <Relationship Target="fontTable.xml" Type="http://schemas.openxmlformats.org/officeDocument/2006/relationships/fontTable" Id="rId3"/>
    <Relationship Target="../customXml/item1.xml" Type="http://schemas.openxmlformats.org/officeDocument/2006/relationships/customXml" Id="rId4"/>
    <Relationship Target="footer1.xml" Type="http://schemas.openxmlformats.org/officeDocument/2006/relationships/footer" Id="rId5"/>
    <Relationship Target="footer2.xml" Type="http://schemas.openxmlformats.org/officeDocument/2006/relationships/footer" Id="rId6"/>
    <Relationship Target="theme/theme1.xml" Type="http://schemas.openxmlformats.org/officeDocument/2006/relationships/theme" Id="rId7"/>
    <Relationship Target="numbering.xml" Type="http://schemas.openxmlformats.org/officeDocument/2006/relationships/numbering" Id="rId8"/>
    <Relationship Target="styles.xml" Type="http://schemas.openxmlformats.org/officeDocument/2006/relationships/styles" Id="rId9"/>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item1.xml><?xml version="1.0" encoding="utf-8"?>
<b:Sourc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57559B6-2DC7-41B5-818F-6E7F24377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22</Words>
  <Characters>130</Characters>
  <Application>Microsoft Office Word</Application>
  <DocSecurity>0</DocSecurity>
  <Lines>1</Lines>
  <Paragraphs>1</Paragraphs>
  <ScaleCrop>false</ScaleCrop>
  <Company>微软中国</Company>
  <LinksUpToDate>false</LinksUpToDate>
  <CharactersWithSpaces>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××年度××部门/单位</dc:title>
  <dc:creator>Administrator</dc:creator>
  <cp:lastModifiedBy>东 杨</cp:lastModifiedBy>
  <cp:revision>18</cp:revision>
  <cp:lastPrinted>2021-04-16T00:45:00Z</cp:lastPrinted>
  <dcterms:created xsi:type="dcterms:W3CDTF">2022-03-23T12:40:00Z</dcterms:created>
  <dcterms:modified xsi:type="dcterms:W3CDTF">2022-08-10T09:50:00Z</dcterms:modified>
</cp:coreProperties>
</file>