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b/>
          <w:bCs/>
          <w:sz w:val="52"/>
          <w:szCs w:val="52"/>
        </w:rPr>
      </w:pPr>
      <w:r>
        <w:rPr>
          <w:rFonts w:ascii="宋体" w:hAnsi="宋体"/>
          <w:b/>
          <w:bCs/>
          <w:sz w:val="52"/>
          <w:szCs w:val="52"/>
        </w:rPr>
        <w:t>2023</w:t>
      </w:r>
      <w:r>
        <w:rPr>
          <w:rFonts w:hint="eastAsia" w:ascii="宋体" w:hAnsi="宋体"/>
          <w:b/>
          <w:bCs/>
          <w:sz w:val="52"/>
          <w:szCs w:val="52"/>
        </w:rPr>
        <w:t>年度内蒙古自治区通辽市科学技术协会（部门）公开</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ind w:firstLine="2240" w:firstLineChars="700"/>
        <w:jc w:val="left"/>
        <w:rPr>
          <w:rFonts w:ascii="宋体" w:hAnsi="宋体"/>
          <w:sz w:val="32"/>
          <w:szCs w:val="32"/>
        </w:rPr>
      </w:pPr>
      <w:r>
        <w:rPr>
          <w:rFonts w:hint="eastAsia" w:ascii="宋体" w:hAnsi="宋体"/>
          <w:sz w:val="32"/>
          <w:szCs w:val="32"/>
        </w:rPr>
        <w:t>部门（单位）名称：内蒙古自治区通辽市科学技术协会（部门）</w:t>
      </w:r>
    </w:p>
    <w:p>
      <w:pPr>
        <w:spacing w:line="360" w:lineRule="auto"/>
        <w:ind w:firstLine="2240" w:firstLineChars="700"/>
        <w:jc w:val="left"/>
        <w:rPr>
          <w:rFonts w:ascii="宋体" w:hAnsi="宋体"/>
          <w:sz w:val="32"/>
          <w:szCs w:val="32"/>
        </w:rPr>
      </w:pPr>
      <w:r>
        <w:rPr>
          <w:rFonts w:hint="eastAsia" w:ascii="宋体" w:hAnsi="宋体"/>
          <w:sz w:val="32"/>
          <w:szCs w:val="32"/>
        </w:rPr>
        <w:t>单位负责人：青格乐图</w:t>
      </w:r>
    </w:p>
    <w:p>
      <w:pPr>
        <w:spacing w:line="360" w:lineRule="auto"/>
        <w:ind w:firstLine="2240" w:firstLineChars="700"/>
        <w:jc w:val="left"/>
        <w:rPr>
          <w:rFonts w:ascii="宋体" w:hAnsi="宋体"/>
          <w:sz w:val="32"/>
          <w:szCs w:val="32"/>
        </w:rPr>
      </w:pPr>
      <w:r>
        <w:rPr>
          <w:rFonts w:hint="eastAsia" w:ascii="宋体" w:hAnsi="宋体"/>
          <w:sz w:val="32"/>
          <w:szCs w:val="32"/>
        </w:rPr>
        <w:t>财务负责人：耐日勒图</w:t>
      </w:r>
    </w:p>
    <w:p>
      <w:pPr>
        <w:spacing w:line="360" w:lineRule="auto"/>
        <w:ind w:firstLine="2240" w:firstLineChars="700"/>
        <w:jc w:val="left"/>
        <w:rPr>
          <w:rFonts w:ascii="宋体" w:hAnsi="宋体"/>
          <w:sz w:val="32"/>
          <w:szCs w:val="32"/>
        </w:rPr>
      </w:pPr>
      <w:r>
        <w:rPr>
          <w:rFonts w:hint="eastAsia" w:ascii="宋体" w:hAnsi="宋体"/>
          <w:sz w:val="32"/>
          <w:szCs w:val="32"/>
        </w:rPr>
        <w:t>编制人：吴黎黎</w:t>
      </w:r>
    </w:p>
    <w:p>
      <w:pPr>
        <w:spacing w:line="360" w:lineRule="auto"/>
        <w:ind w:firstLine="2240" w:firstLineChars="700"/>
        <w:jc w:val="left"/>
        <w:rPr>
          <w:rFonts w:ascii="宋体" w:hAnsi="宋体"/>
          <w:sz w:val="32"/>
          <w:szCs w:val="32"/>
        </w:rPr>
      </w:pPr>
      <w:r>
        <w:rPr>
          <w:rFonts w:hint="eastAsia" w:ascii="宋体" w:hAnsi="宋体"/>
          <w:sz w:val="32"/>
          <w:szCs w:val="32"/>
        </w:rPr>
        <w:t>报送日期：</w:t>
      </w:r>
      <w:r>
        <w:rPr>
          <w:rFonts w:ascii="宋体" w:hAnsi="宋体"/>
          <w:sz w:val="32"/>
          <w:szCs w:val="32"/>
        </w:rPr>
        <w:t>2024</w:t>
      </w:r>
      <w:r>
        <w:rPr>
          <w:rFonts w:hint="eastAsia" w:ascii="宋体" w:hAnsi="宋体"/>
          <w:sz w:val="32"/>
          <w:szCs w:val="32"/>
        </w:rPr>
        <w:t>年9月</w:t>
      </w:r>
    </w:p>
    <w:p>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pPr>
        <w:adjustRightInd w:val="0"/>
        <w:snapToGrid w:val="0"/>
        <w:rPr>
          <w:rFonts w:ascii="宋体" w:hAnsi="宋体"/>
          <w:b/>
          <w:sz w:val="32"/>
          <w:szCs w:val="32"/>
        </w:rPr>
      </w:pPr>
    </w:p>
    <w:p>
      <w:pPr>
        <w:adjustRightInd w:val="0"/>
        <w:snapToGrid w:val="0"/>
        <w:jc w:val="center"/>
      </w:pPr>
    </w:p>
    <w:p>
      <w:pPr>
        <w:adjustRightInd w:val="0"/>
        <w:snapToGrid w:val="0"/>
        <w:rPr>
          <w:rFonts w:ascii="宋体" w:hAnsi="宋体"/>
          <w:b/>
          <w:sz w:val="32"/>
          <w:szCs w:val="32"/>
        </w:rPr>
      </w:pPr>
    </w:p>
    <w:p>
      <w:pPr>
        <w:pStyle w:val="4"/>
      </w:pPr>
      <w:r>
        <w:rPr>
          <w:rFonts w:hint="eastAsia"/>
        </w:rPr>
        <w:t>公开文档</w:t>
      </w:r>
    </w:p>
    <w:p>
      <w:pPr>
        <w:widowControl/>
        <w:spacing w:after="240"/>
        <w:jc w:val="center"/>
        <w:rPr>
          <w:rFonts w:ascii="Times New Roman" w:hAnsi="Times New Roman" w:eastAsia="Times New Roman" w:cs="Times New Roman"/>
          <w:kern w:val="0"/>
          <w:sz w:val="24"/>
        </w:rPr>
      </w:pPr>
      <w:bookmarkStart w:id="0" w:name="a000"/>
      <w:r>
        <w:rPr>
          <w:rFonts w:ascii="fang_song_gb2312" w:hAnsi="fang_song_gb2312" w:eastAsia="fang_song_gb2312" w:cs="fang_song_gb2312"/>
          <w:b/>
          <w:bCs/>
          <w:kern w:val="0"/>
          <w:sz w:val="54"/>
          <w:szCs w:val="54"/>
        </w:rPr>
        <w:t>目 录</w:t>
      </w:r>
    </w:p>
    <w:p>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部门概况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一、主要职能、职责</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二、部门机构设置及决算单位构成情况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三、年度部门主要工作完成情况</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部门决算情况说明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九、政府性基金预算财政拨款支出决算情况说明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十、国有资本经营预算财政拨款支出决算情况说明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十二、政府采购支出决算情况说明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十三、国有资产占用情况说明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十四、预算绩效情况说明</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部门决算表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八、政府性基金预算财政拨款收入支出决算表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九、国有资本经营预算财政拨款支出决算表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十、财政拨款“三公”经费支出决算表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十一、机构运行经费支出、国有资产占用情况及政府采购支出信息表</w:t>
      </w:r>
    </w:p>
    <w:p>
      <w:pPr>
        <w:widowControl/>
        <w:spacing w:before="240" w:after="240"/>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Pr>
        <w:rPr>
          <w:rFonts w:ascii="Times New Roman" w:hAnsi="Times New Roman" w:eastAsia="Times New Roman" w:cs="Times New Roman"/>
          <w:kern w:val="0"/>
          <w:sz w:val="24"/>
        </w:rPr>
      </w:pPr>
    </w:p>
    <w:p>
      <w:pPr>
        <w:pStyle w:val="2"/>
        <w:rPr>
          <w:rFonts w:ascii="Times New Roman" w:hAnsi="Times New Roman" w:eastAsia="Times New Roman" w:cs="Times New Roman"/>
          <w:kern w:val="0"/>
          <w:sz w:val="24"/>
        </w:rPr>
      </w:pPr>
    </w:p>
    <w:p/>
    <w:p>
      <w:pPr>
        <w:widowControl/>
        <w:spacing w:before="240" w:after="240"/>
        <w:jc w:val="center"/>
        <w:rPr>
          <w:rFonts w:hint="eastAsia" w:ascii="黑体" w:hAnsi="黑体" w:eastAsia="黑体" w:cs="黑体"/>
          <w:b w:val="0"/>
          <w:bCs w:val="0"/>
          <w:kern w:val="0"/>
          <w:sz w:val="24"/>
        </w:rPr>
      </w:pPr>
      <w:r>
        <w:rPr>
          <w:rFonts w:ascii="fang_zheng_xiao_biao_song_ti" w:hAnsi="fang_zheng_xiao_biao_song_ti" w:eastAsia="fang_zheng_xiao_biao_song_ti" w:cs="fang_zheng_xiao_biao_song_ti"/>
          <w:b/>
          <w:bCs/>
          <w:color w:val="000000"/>
          <w:kern w:val="0"/>
          <w:sz w:val="36"/>
          <w:szCs w:val="36"/>
        </w:rPr>
        <w:t>第一部分 部门概况</w:t>
      </w:r>
    </w:p>
    <w:p>
      <w:pPr>
        <w:widowControl/>
        <w:spacing w:before="240" w:after="240"/>
        <w:jc w:val="left"/>
        <w:rPr>
          <w:rFonts w:ascii="Times New Roman" w:hAnsi="Times New Roman" w:eastAsia="Times New Roman" w:cs="Times New Roman"/>
          <w:b w:val="0"/>
          <w:bCs w:val="0"/>
          <w:kern w:val="0"/>
          <w:sz w:val="32"/>
          <w:szCs w:val="32"/>
        </w:rPr>
      </w:pPr>
      <w:r>
        <w:rPr>
          <w:rFonts w:ascii="Calibri" w:hAnsi="Calibri" w:eastAsia="Calibri" w:cs="Calibri"/>
          <w:b w:val="0"/>
          <w:bCs w:val="0"/>
          <w:kern w:val="0"/>
          <w:sz w:val="32"/>
          <w:szCs w:val="32"/>
        </w:rPr>
        <w:t> </w:t>
      </w:r>
      <w:r>
        <w:rPr>
          <w:rFonts w:ascii="黑体" w:hAnsi="黑体" w:eastAsia="黑体" w:cs="黑体"/>
          <w:b w:val="0"/>
          <w:bCs w:val="0"/>
          <w:kern w:val="0"/>
          <w:sz w:val="32"/>
          <w:szCs w:val="32"/>
        </w:rPr>
        <w:t xml:space="preserve"> </w:t>
      </w:r>
      <w:r>
        <w:rPr>
          <w:rFonts w:hint="eastAsia" w:ascii="黑体" w:hAnsi="黑体" w:eastAsia="黑体" w:cs="黑体"/>
          <w:b w:val="0"/>
          <w:bCs w:val="0"/>
          <w:kern w:val="0"/>
          <w:sz w:val="32"/>
          <w:szCs w:val="32"/>
        </w:rPr>
        <w:t>  一、主要职能、职责</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color w:val="0E00FE"/>
          <w:kern w:val="0"/>
          <w:sz w:val="32"/>
          <w:szCs w:val="32"/>
        </w:rPr>
        <w:t> </w:t>
      </w:r>
      <w:r>
        <w:rPr>
          <w:rFonts w:hint="eastAsia" w:ascii="仿宋_GB2312" w:hAnsi="仿宋_GB2312" w:eastAsia="仿宋_GB2312" w:cs="仿宋_GB2312"/>
          <w:sz w:val="32"/>
          <w:szCs w:val="32"/>
          <w:lang w:val="en-US" w:eastAsia="zh-CN"/>
        </w:rPr>
        <w:t>坚持把铸牢中华民族共同体意识作为市科协各项工作主线，贯穿于科技创新、科学普及以及自身建设等全过程各方面。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二</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宣传党的路线方针政策，密切联系科学技术工作者，反映科学技术工作者的建议、意见和诉求，维护科学技术工作者的合法权益，建设科技工作者之家。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三</w:t>
      </w:r>
      <w:r>
        <w:rPr>
          <w:rFonts w:hint="eastAsia" w:ascii="仿宋_GB2312" w:hAnsi="仿宋_GB2312" w:eastAsia="仿宋_GB2312" w:cs="仿宋_GB2312"/>
          <w:b w:val="0"/>
          <w:bCs w:val="0"/>
          <w:color w:val="000000"/>
          <w:sz w:val="32"/>
          <w:szCs w:val="32"/>
        </w:rPr>
        <w:t>）开展学术交流，活跃学术思想，倡导学术民主，优化学术环境，促进学科发展,推进创新体系建设。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四</w:t>
      </w:r>
      <w:r>
        <w:rPr>
          <w:rFonts w:hint="eastAsia" w:ascii="仿宋_GB2312" w:hAnsi="仿宋_GB2312" w:eastAsia="仿宋_GB2312" w:cs="仿宋_GB2312"/>
          <w:b w:val="0"/>
          <w:bCs w:val="0"/>
          <w:color w:val="000000"/>
          <w:sz w:val="32"/>
          <w:szCs w:val="32"/>
        </w:rPr>
        <w:t>）组织科学技术工作者开展科技创新，参与科学论证和咨询服务，加快科学技术成果转化应用，助力创新发展，为增强企业自主创新能力作贡献。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五</w:t>
      </w:r>
      <w:r>
        <w:rPr>
          <w:rFonts w:hint="eastAsia" w:ascii="仿宋_GB2312" w:hAnsi="仿宋_GB2312" w:eastAsia="仿宋_GB2312" w:cs="仿宋_GB2312"/>
          <w:b w:val="0"/>
          <w:bCs w:val="0"/>
          <w:color w:val="000000"/>
          <w:sz w:val="32"/>
          <w:szCs w:val="32"/>
        </w:rPr>
        <w:t>）弘扬科学精神，普及科学知识，推广先进技术，传播科学思想和科学方法，捍卫科学尊严，提高全民科学素质。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六</w:t>
      </w:r>
      <w:r>
        <w:rPr>
          <w:rFonts w:hint="eastAsia" w:ascii="仿宋_GB2312" w:hAnsi="仿宋_GB2312" w:eastAsia="仿宋_GB2312" w:cs="仿宋_GB2312"/>
          <w:b w:val="0"/>
          <w:bCs w:val="0"/>
          <w:color w:val="000000"/>
          <w:sz w:val="32"/>
          <w:szCs w:val="32"/>
        </w:rPr>
        <w:t>）健全科学共同体的自律功能，推动建立和完善科学研究诚信监督机制，促进科学道德建设和学风建设，宣传优秀科技工作者，培育科学文化，践行社会主义核心价值观。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七</w:t>
      </w:r>
      <w:r>
        <w:rPr>
          <w:rFonts w:hint="eastAsia" w:ascii="仿宋_GB2312" w:hAnsi="仿宋_GB2312" w:eastAsia="仿宋_GB2312" w:cs="仿宋_GB2312"/>
          <w:b w:val="0"/>
          <w:bCs w:val="0"/>
          <w:color w:val="000000"/>
          <w:sz w:val="32"/>
          <w:szCs w:val="32"/>
        </w:rPr>
        <w:t>）组织科学技术工作者参与</w:t>
      </w:r>
      <w:r>
        <w:rPr>
          <w:rFonts w:hint="eastAsia" w:ascii="仿宋_GB2312" w:hAnsi="仿宋_GB2312" w:eastAsia="仿宋_GB2312" w:cs="仿宋_GB2312"/>
          <w:b w:val="0"/>
          <w:bCs w:val="0"/>
          <w:color w:val="000000"/>
          <w:sz w:val="32"/>
          <w:szCs w:val="32"/>
          <w:lang w:eastAsia="zh-CN"/>
        </w:rPr>
        <w:t>全市</w:t>
      </w:r>
      <w:r>
        <w:rPr>
          <w:rFonts w:hint="eastAsia" w:ascii="仿宋_GB2312" w:hAnsi="仿宋_GB2312" w:eastAsia="仿宋_GB2312" w:cs="仿宋_GB2312"/>
          <w:b w:val="0"/>
          <w:bCs w:val="0"/>
          <w:color w:val="000000"/>
          <w:sz w:val="32"/>
          <w:szCs w:val="32"/>
        </w:rPr>
        <w:t>科技规划、政策的咨询制定和</w:t>
      </w:r>
      <w:r>
        <w:rPr>
          <w:rFonts w:hint="eastAsia" w:ascii="仿宋_GB2312" w:hAnsi="仿宋_GB2312" w:eastAsia="仿宋_GB2312" w:cs="仿宋_GB2312"/>
          <w:b w:val="0"/>
          <w:bCs w:val="0"/>
          <w:color w:val="000000"/>
          <w:sz w:val="32"/>
          <w:szCs w:val="32"/>
          <w:lang w:eastAsia="zh-CN"/>
        </w:rPr>
        <w:t>重大</w:t>
      </w:r>
      <w:r>
        <w:rPr>
          <w:rFonts w:hint="eastAsia" w:ascii="仿宋_GB2312" w:hAnsi="仿宋_GB2312" w:eastAsia="仿宋_GB2312" w:cs="仿宋_GB2312"/>
          <w:b w:val="0"/>
          <w:bCs w:val="0"/>
          <w:color w:val="000000"/>
          <w:sz w:val="32"/>
          <w:szCs w:val="32"/>
        </w:rPr>
        <w:t>事务的政治协商、科学决策、民主监督工作，建设科技创新智库。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八</w:t>
      </w:r>
      <w:r>
        <w:rPr>
          <w:rFonts w:hint="eastAsia" w:ascii="仿宋_GB2312" w:hAnsi="仿宋_GB2312" w:eastAsia="仿宋_GB2312" w:cs="仿宋_GB2312"/>
          <w:b w:val="0"/>
          <w:bCs w:val="0"/>
          <w:color w:val="000000"/>
          <w:sz w:val="32"/>
          <w:szCs w:val="32"/>
        </w:rPr>
        <w:t>）组织所属学会有序承接科技评估、工程技术领域职业资格认定、技术标准研制、国家科技奖励推荐等政府委托工作或转移职能。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九</w:t>
      </w:r>
      <w:r>
        <w:rPr>
          <w:rFonts w:hint="eastAsia" w:ascii="仿宋_GB2312" w:hAnsi="仿宋_GB2312" w:eastAsia="仿宋_GB2312" w:cs="仿宋_GB2312"/>
          <w:b w:val="0"/>
          <w:bCs w:val="0"/>
          <w:color w:val="000000"/>
          <w:sz w:val="32"/>
          <w:szCs w:val="32"/>
        </w:rPr>
        <w:t>）注重激发青少年科技兴趣，发现培养杰出青年科学家和创新团队，表彰奖励优秀科学技术工作者，举荐科学技术人才。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十</w:t>
      </w:r>
      <w:r>
        <w:rPr>
          <w:rFonts w:hint="eastAsia" w:ascii="仿宋_GB2312" w:hAnsi="仿宋_GB2312" w:eastAsia="仿宋_GB2312" w:cs="仿宋_GB2312"/>
          <w:b w:val="0"/>
          <w:bCs w:val="0"/>
          <w:color w:val="000000"/>
          <w:sz w:val="32"/>
          <w:szCs w:val="32"/>
        </w:rPr>
        <w:t>）开展民间国际科学技术交流活动，促进国际科学技术合作，发展同国(境)外科学技术团体和科技工作者的友好交往。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十一</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兴办符合中国科协宗旨的社会公益性事业。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十</w:t>
      </w:r>
      <w:r>
        <w:rPr>
          <w:rFonts w:hint="eastAsia" w:ascii="仿宋_GB2312" w:hAnsi="仿宋_GB2312" w:eastAsia="仿宋_GB2312" w:cs="仿宋_GB2312"/>
          <w:color w:val="000000"/>
          <w:sz w:val="32"/>
          <w:szCs w:val="32"/>
          <w:lang w:val="en-US" w:eastAsia="zh-CN"/>
        </w:rPr>
        <w:t>二</w:t>
      </w:r>
      <w:r>
        <w:rPr>
          <w:rFonts w:hint="eastAsia" w:ascii="仿宋_GB2312" w:hAnsi="仿宋_GB2312" w:eastAsia="仿宋_GB2312" w:cs="仿宋_GB2312"/>
          <w:color w:val="000000"/>
          <w:sz w:val="32"/>
          <w:szCs w:val="32"/>
        </w:rPr>
        <w:t>)依照章程按期召开科协代表大会，对所属的市级学会进行管理，指导旗县市区科协工作。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十</w:t>
      </w:r>
      <w:r>
        <w:rPr>
          <w:rFonts w:hint="eastAsia" w:ascii="仿宋_GB2312" w:hAnsi="仿宋_GB2312" w:eastAsia="仿宋_GB2312" w:cs="仿宋_GB2312"/>
          <w:color w:val="000000"/>
          <w:sz w:val="32"/>
          <w:szCs w:val="32"/>
          <w:lang w:val="en-US" w:eastAsia="zh-CN"/>
        </w:rPr>
        <w:t>三</w:t>
      </w:r>
      <w:r>
        <w:rPr>
          <w:rFonts w:hint="eastAsia" w:ascii="仿宋_GB2312" w:hAnsi="仿宋_GB2312" w:eastAsia="仿宋_GB2312" w:cs="仿宋_GB2312"/>
          <w:color w:val="000000"/>
          <w:sz w:val="32"/>
          <w:szCs w:val="32"/>
        </w:rPr>
        <w:t>)承办市委、</w:t>
      </w:r>
      <w:r>
        <w:rPr>
          <w:rFonts w:hint="eastAsia" w:ascii="仿宋_GB2312" w:hAnsi="仿宋_GB2312" w:eastAsia="仿宋_GB2312" w:cs="仿宋_GB2312"/>
          <w:color w:val="000000"/>
          <w:sz w:val="32"/>
          <w:szCs w:val="32"/>
          <w:lang w:eastAsia="zh-CN"/>
        </w:rPr>
        <w:t>政</w:t>
      </w:r>
      <w:r>
        <w:rPr>
          <w:rFonts w:hint="eastAsia" w:ascii="仿宋_GB2312" w:hAnsi="仿宋_GB2312" w:eastAsia="仿宋_GB2312" w:cs="仿宋_GB2312"/>
          <w:color w:val="000000"/>
          <w:sz w:val="32"/>
          <w:szCs w:val="32"/>
        </w:rPr>
        <w:t>府和国家、自治区科协交办的其他事项</w:t>
      </w:r>
      <w:r>
        <w:rPr>
          <w:rFonts w:hint="eastAsia" w:ascii="仿宋_GB2312" w:hAnsi="仿宋_GB2312" w:eastAsia="仿宋_GB2312" w:cs="仿宋_GB2312"/>
          <w:color w:val="000000"/>
          <w:sz w:val="32"/>
          <w:szCs w:val="32"/>
          <w:lang w:eastAsia="zh-CN"/>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二、部门机构设置及决算单位构成情况</w:t>
      </w:r>
    </w:p>
    <w:tbl>
      <w:tblPr>
        <w:tblStyle w:val="21"/>
        <w:tblpPr w:leftFromText="180" w:rightFromText="180" w:vertAnchor="text" w:horzAnchor="page" w:tblpX="2207" w:tblpY="265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662" w:type="dxa"/>
            <w:tcBorders>
              <w:top w:val="single" w:color="auto" w:sz="6" w:space="0"/>
              <w:left w:val="single" w:color="auto" w:sz="6" w:space="0"/>
              <w:bottom w:val="single" w:color="auto" w:sz="6" w:space="0"/>
              <w:right w:val="single" w:color="auto" w:sz="6" w:space="0"/>
              <w:tl2br w:val="nil"/>
              <w:tr2bl w:val="nil"/>
            </w:tcBorders>
            <w:noWrap w:val="0"/>
            <w:vAlign w:val="top"/>
          </w:tcPr>
          <w:p>
            <w:pPr>
              <w:spacing w:beforeLines="0" w:afterLines="0"/>
              <w:rPr>
                <w:rFonts w:hint="default" w:ascii="Times New Roman" w:hAnsi="Times New Roman" w:eastAsia="Times New Roman"/>
                <w:color w:val="000000"/>
                <w:sz w:val="31"/>
                <w:szCs w:val="24"/>
              </w:rPr>
            </w:pPr>
            <w:r>
              <w:rPr>
                <w:rFonts w:hint="eastAsia" w:ascii="仿宋_GB2312" w:hAnsi="仿宋_GB2312" w:eastAsia="仿宋_GB2312"/>
                <w:color w:val="000000"/>
                <w:sz w:val="31"/>
                <w:szCs w:val="24"/>
              </w:rPr>
              <w:t>序号</w:t>
            </w:r>
          </w:p>
        </w:tc>
        <w:tc>
          <w:tcPr>
            <w:tcW w:w="3260" w:type="dxa"/>
            <w:tcBorders>
              <w:top w:val="single" w:color="auto" w:sz="6" w:space="0"/>
              <w:left w:val="single" w:color="auto" w:sz="6" w:space="0"/>
              <w:bottom w:val="single" w:color="auto" w:sz="6" w:space="0"/>
              <w:right w:val="single" w:color="auto" w:sz="6" w:space="0"/>
              <w:tl2br w:val="nil"/>
              <w:tr2bl w:val="nil"/>
            </w:tcBorders>
            <w:noWrap w:val="0"/>
            <w:vAlign w:val="top"/>
          </w:tcPr>
          <w:p>
            <w:pPr>
              <w:spacing w:beforeLines="0" w:afterLines="0"/>
              <w:rPr>
                <w:rFonts w:hint="default" w:ascii="Times New Roman" w:hAnsi="Times New Roman" w:eastAsia="Times New Roman"/>
                <w:color w:val="000000"/>
                <w:sz w:val="31"/>
                <w:szCs w:val="24"/>
              </w:rPr>
            </w:pPr>
            <w:r>
              <w:rPr>
                <w:rFonts w:hint="eastAsia" w:ascii="仿宋_GB2312" w:hAnsi="仿宋_GB2312" w:eastAsia="仿宋_GB2312"/>
                <w:color w:val="000000"/>
                <w:sz w:val="31"/>
                <w:szCs w:val="24"/>
              </w:rPr>
              <w:t>单位名称</w:t>
            </w:r>
          </w:p>
        </w:tc>
        <w:tc>
          <w:tcPr>
            <w:tcW w:w="4600" w:type="dxa"/>
            <w:tcBorders>
              <w:top w:val="single" w:color="auto" w:sz="6" w:space="0"/>
              <w:left w:val="single" w:color="auto" w:sz="6" w:space="0"/>
              <w:bottom w:val="single" w:color="auto" w:sz="6" w:space="0"/>
              <w:right w:val="single" w:color="auto" w:sz="6" w:space="0"/>
              <w:tl2br w:val="nil"/>
              <w:tr2bl w:val="nil"/>
            </w:tcBorders>
            <w:noWrap w:val="0"/>
            <w:vAlign w:val="top"/>
          </w:tcPr>
          <w:p>
            <w:pPr>
              <w:spacing w:beforeLines="0" w:afterLines="0"/>
              <w:rPr>
                <w:rFonts w:hint="default" w:ascii="Times New Roman" w:hAnsi="Times New Roman" w:eastAsia="Times New Roman"/>
                <w:color w:val="000000"/>
                <w:sz w:val="31"/>
                <w:szCs w:val="24"/>
              </w:rPr>
            </w:pPr>
            <w:r>
              <w:rPr>
                <w:rFonts w:hint="eastAsia" w:ascii="仿宋_GB2312" w:hAnsi="仿宋_GB2312" w:eastAsia="仿宋_GB2312"/>
                <w:color w:val="000000"/>
                <w:sz w:val="31"/>
                <w:szCs w:val="24"/>
              </w:rPr>
              <w:t>单位性质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2" w:type="dxa"/>
            <w:tcBorders>
              <w:top w:val="single" w:color="auto" w:sz="6" w:space="0"/>
              <w:left w:val="single" w:color="auto" w:sz="6" w:space="0"/>
              <w:bottom w:val="single" w:color="auto" w:sz="6" w:space="0"/>
              <w:right w:val="single" w:color="auto" w:sz="6" w:space="0"/>
              <w:tl2br w:val="nil"/>
              <w:tr2bl w:val="nil"/>
            </w:tcBorders>
            <w:noWrap w:val="0"/>
            <w:vAlign w:val="center"/>
          </w:tcPr>
          <w:p>
            <w:pPr>
              <w:widowControl/>
              <w:jc w:val="center"/>
              <w:rPr>
                <w:rFonts w:hint="default" w:ascii="Times New Roman" w:hAnsi="Times New Roman" w:eastAsia="Times New Roman"/>
                <w:color w:val="000000"/>
                <w:sz w:val="31"/>
                <w:szCs w:val="24"/>
              </w:rPr>
            </w:pPr>
            <w:r>
              <w:rPr>
                <w:rFonts w:hint="eastAsia" w:ascii="Times New Roman" w:hAnsi="Times New Roman" w:eastAsia="仿宋_GB2312" w:cs="仿宋"/>
                <w:color w:val="000000"/>
                <w:kern w:val="0"/>
                <w:sz w:val="31"/>
                <w:szCs w:val="31"/>
                <w:highlight w:val="none"/>
                <w:lang w:bidi="ar"/>
              </w:rPr>
              <w:t>1</w:t>
            </w:r>
          </w:p>
        </w:tc>
        <w:tc>
          <w:tcPr>
            <w:tcW w:w="3260" w:type="dxa"/>
            <w:tcBorders>
              <w:top w:val="single" w:color="auto" w:sz="6" w:space="0"/>
              <w:left w:val="single" w:color="auto" w:sz="6" w:space="0"/>
              <w:bottom w:val="single" w:color="auto" w:sz="6" w:space="0"/>
              <w:right w:val="single" w:color="auto" w:sz="6" w:space="0"/>
              <w:tl2br w:val="nil"/>
              <w:tr2bl w:val="nil"/>
            </w:tcBorders>
            <w:noWrap w:val="0"/>
            <w:vAlign w:val="top"/>
          </w:tcPr>
          <w:p>
            <w:pPr>
              <w:widowControl/>
              <w:jc w:val="left"/>
              <w:rPr>
                <w:rFonts w:hint="default" w:ascii="Times New Roman" w:hAnsi="Times New Roman" w:eastAsia="Times New Roman"/>
                <w:color w:val="000000"/>
                <w:sz w:val="31"/>
                <w:szCs w:val="24"/>
              </w:rPr>
            </w:pPr>
            <w:r>
              <w:rPr>
                <w:rFonts w:hint="eastAsia" w:ascii="仿宋_GB2312" w:hAnsi="仿宋_GB2312" w:eastAsia="仿宋_GB2312" w:cs="仿宋"/>
                <w:color w:val="000000"/>
                <w:kern w:val="0"/>
                <w:sz w:val="31"/>
                <w:szCs w:val="31"/>
                <w:highlight w:val="none"/>
                <w:lang w:val="en-US" w:eastAsia="zh-CN" w:bidi="ar"/>
              </w:rPr>
              <w:t>内蒙古自治区通辽市科学技术协会本级</w:t>
            </w:r>
          </w:p>
        </w:tc>
        <w:tc>
          <w:tcPr>
            <w:tcW w:w="4600" w:type="dxa"/>
            <w:tcBorders>
              <w:top w:val="single" w:color="auto" w:sz="6" w:space="0"/>
              <w:left w:val="single" w:color="auto" w:sz="6" w:space="0"/>
              <w:bottom w:val="single" w:color="auto" w:sz="6" w:space="0"/>
              <w:right w:val="single" w:color="auto" w:sz="6" w:space="0"/>
              <w:tl2br w:val="nil"/>
              <w:tr2bl w:val="nil"/>
            </w:tcBorders>
            <w:noWrap w:val="0"/>
            <w:vAlign w:val="top"/>
          </w:tcPr>
          <w:p>
            <w:pPr>
              <w:widowControl/>
              <w:jc w:val="left"/>
              <w:rPr>
                <w:rFonts w:hint="default" w:ascii="Times New Roman" w:hAnsi="Times New Roman" w:eastAsia="Times New Roman"/>
                <w:color w:val="000000"/>
                <w:sz w:val="31"/>
                <w:szCs w:val="24"/>
              </w:rPr>
            </w:pPr>
            <w:r>
              <w:rPr>
                <w:rFonts w:hint="eastAsia" w:ascii="Times New Roman" w:hAnsi="Times New Roman" w:eastAsia="仿宋_GB2312" w:cs="仿宋"/>
                <w:color w:val="000000"/>
                <w:kern w:val="0"/>
                <w:sz w:val="31"/>
                <w:szCs w:val="31"/>
                <w:highlight w:val="none"/>
                <w:lang w:bidi="ar"/>
              </w:rPr>
              <w:t>参照公务员法管理的事业单位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2" w:type="dxa"/>
            <w:tcBorders>
              <w:top w:val="single" w:color="auto" w:sz="6" w:space="0"/>
              <w:left w:val="single" w:color="auto" w:sz="6" w:space="0"/>
              <w:bottom w:val="single" w:color="auto" w:sz="6" w:space="0"/>
              <w:right w:val="single" w:color="auto" w:sz="6" w:space="0"/>
              <w:tl2br w:val="nil"/>
              <w:tr2bl w:val="nil"/>
            </w:tcBorders>
            <w:noWrap w:val="0"/>
            <w:vAlign w:val="center"/>
          </w:tcPr>
          <w:p>
            <w:pPr>
              <w:widowControl/>
              <w:jc w:val="center"/>
              <w:rPr>
                <w:rFonts w:hint="default" w:ascii="Times New Roman" w:hAnsi="Times New Roman" w:eastAsia="Times New Roman"/>
                <w:color w:val="000000"/>
                <w:sz w:val="31"/>
                <w:szCs w:val="24"/>
              </w:rPr>
            </w:pPr>
            <w:r>
              <w:rPr>
                <w:rFonts w:hint="eastAsia" w:ascii="Times New Roman" w:hAnsi="Times New Roman" w:eastAsia="仿宋_GB2312" w:cs="仿宋"/>
                <w:color w:val="000000"/>
                <w:kern w:val="0"/>
                <w:sz w:val="31"/>
                <w:szCs w:val="31"/>
                <w:highlight w:val="none"/>
                <w:lang w:bidi="ar"/>
              </w:rPr>
              <w:t>2</w:t>
            </w:r>
          </w:p>
        </w:tc>
        <w:tc>
          <w:tcPr>
            <w:tcW w:w="3260" w:type="dxa"/>
            <w:tcBorders>
              <w:top w:val="single" w:color="auto" w:sz="6" w:space="0"/>
              <w:left w:val="single" w:color="auto" w:sz="6" w:space="0"/>
              <w:bottom w:val="single" w:color="auto" w:sz="6" w:space="0"/>
              <w:right w:val="single" w:color="auto" w:sz="6" w:space="0"/>
              <w:tl2br w:val="nil"/>
              <w:tr2bl w:val="nil"/>
            </w:tcBorders>
            <w:noWrap w:val="0"/>
            <w:vAlign w:val="top"/>
          </w:tcPr>
          <w:p>
            <w:pPr>
              <w:widowControl/>
              <w:jc w:val="left"/>
              <w:rPr>
                <w:rFonts w:hint="default" w:ascii="Times New Roman" w:hAnsi="Times New Roman" w:eastAsia="Times New Roman"/>
                <w:color w:val="000000"/>
                <w:sz w:val="31"/>
                <w:szCs w:val="24"/>
              </w:rPr>
            </w:pPr>
            <w:r>
              <w:rPr>
                <w:rFonts w:hint="eastAsia" w:ascii="仿宋_GB2312" w:hAnsi="仿宋_GB2312" w:eastAsia="仿宋_GB2312" w:cs="仿宋"/>
                <w:color w:val="000000"/>
                <w:kern w:val="0"/>
                <w:sz w:val="31"/>
                <w:szCs w:val="31"/>
                <w:highlight w:val="none"/>
                <w:lang w:val="en-US" w:eastAsia="zh-CN" w:bidi="ar"/>
              </w:rPr>
              <w:t>通辽市科学技术馆</w:t>
            </w:r>
          </w:p>
        </w:tc>
        <w:tc>
          <w:tcPr>
            <w:tcW w:w="4600" w:type="dxa"/>
            <w:tcBorders>
              <w:top w:val="single" w:color="auto" w:sz="6" w:space="0"/>
              <w:left w:val="single" w:color="auto" w:sz="6" w:space="0"/>
              <w:bottom w:val="single" w:color="auto" w:sz="6" w:space="0"/>
              <w:right w:val="single" w:color="auto" w:sz="6" w:space="0"/>
              <w:tl2br w:val="nil"/>
              <w:tr2bl w:val="nil"/>
            </w:tcBorders>
            <w:noWrap w:val="0"/>
            <w:vAlign w:val="top"/>
          </w:tcPr>
          <w:p>
            <w:pPr>
              <w:widowControl/>
              <w:jc w:val="left"/>
              <w:rPr>
                <w:rFonts w:hint="default" w:ascii="Times New Roman" w:hAnsi="Times New Roman" w:eastAsia="Times New Roman"/>
                <w:color w:val="000000"/>
                <w:sz w:val="31"/>
                <w:szCs w:val="24"/>
              </w:rPr>
            </w:pPr>
            <w:r>
              <w:rPr>
                <w:rFonts w:hint="eastAsia" w:ascii="Times New Roman" w:hAnsi="Times New Roman" w:eastAsia="仿宋_GB2312" w:cs="仿宋"/>
                <w:color w:val="000000"/>
                <w:kern w:val="0"/>
                <w:sz w:val="31"/>
                <w:szCs w:val="31"/>
                <w:highlight w:val="none"/>
                <w:lang w:bidi="ar"/>
              </w:rPr>
              <w:t>公益一类事业单位</w:t>
            </w:r>
          </w:p>
        </w:tc>
      </w:tr>
    </w:tbl>
    <w:p>
      <w:pPr>
        <w:spacing w:line="600" w:lineRule="exact"/>
        <w:ind w:firstLine="640" w:firstLineChars="200"/>
        <w:rPr>
          <w:rFonts w:hint="default" w:ascii="Times New Roman" w:hAnsi="Times New Roman" w:eastAsia="Times New Roman"/>
          <w:color w:val="auto"/>
          <w:kern w:val="2"/>
          <w:sz w:val="32"/>
          <w:szCs w:val="24"/>
        </w:rPr>
      </w:pPr>
      <w:r>
        <w:rPr>
          <w:rFonts w:hint="eastAsia" w:eastAsia="仿宋_GB2312" w:cs="Times New Roman"/>
          <w:sz w:val="32"/>
          <w:szCs w:val="32"/>
          <w:highlight w:val="none"/>
          <w:lang w:val="en-US" w:eastAsia="zh-CN"/>
        </w:rPr>
        <w:t>1.</w:t>
      </w:r>
      <w:r>
        <w:rPr>
          <w:rFonts w:hint="eastAsia" w:eastAsia="仿宋_GB2312" w:cs="Times New Roman"/>
          <w:sz w:val="32"/>
          <w:szCs w:val="32"/>
          <w:highlight w:val="none"/>
        </w:rPr>
        <w:t>根据部门职责分工，</w:t>
      </w:r>
      <w:r>
        <w:rPr>
          <w:rFonts w:hint="eastAsia" w:eastAsia="仿宋_GB2312" w:cs="Times New Roman"/>
          <w:sz w:val="32"/>
          <w:szCs w:val="32"/>
          <w:highlight w:val="none"/>
          <w:lang w:val="en-US" w:eastAsia="zh-CN"/>
        </w:rPr>
        <w:t>本部门</w:t>
      </w:r>
      <w:r>
        <w:rPr>
          <w:rFonts w:hint="eastAsia" w:eastAsia="仿宋_GB2312" w:cs="Times New Roman"/>
          <w:sz w:val="32"/>
          <w:szCs w:val="32"/>
          <w:highlight w:val="none"/>
        </w:rPr>
        <w:t>内设机构包括</w:t>
      </w:r>
      <w:r>
        <w:rPr>
          <w:rFonts w:hint="eastAsia" w:eastAsia="仿宋_GB2312" w:cs="Times New Roman"/>
          <w:sz w:val="32"/>
          <w:szCs w:val="32"/>
          <w:highlight w:val="none"/>
          <w:lang w:val="en-US" w:eastAsia="zh-CN"/>
        </w:rPr>
        <w:t>科普部、学会部、党政办公室</w:t>
      </w:r>
      <w:r>
        <w:rPr>
          <w:rFonts w:hint="eastAsia" w:eastAsia="仿宋_GB2312" w:cs="Times New Roman"/>
          <w:sz w:val="32"/>
          <w:szCs w:val="32"/>
          <w:highlight w:val="none"/>
        </w:rPr>
        <w:t>。</w:t>
      </w:r>
      <w:r>
        <w:rPr>
          <w:rFonts w:hint="eastAsia" w:eastAsia="仿宋_GB2312" w:cs="Times New Roman"/>
          <w:sz w:val="32"/>
          <w:szCs w:val="32"/>
          <w:highlight w:val="none"/>
          <w:lang w:val="en-US" w:eastAsia="zh-CN"/>
        </w:rPr>
        <w:t>本部门</w:t>
      </w:r>
      <w:r>
        <w:rPr>
          <w:rFonts w:hint="eastAsia" w:eastAsia="仿宋_GB2312" w:cs="Times New Roman"/>
          <w:sz w:val="32"/>
          <w:szCs w:val="32"/>
          <w:highlight w:val="none"/>
        </w:rPr>
        <w:t>下属单位包括：</w:t>
      </w:r>
      <w:r>
        <w:rPr>
          <w:rFonts w:hint="eastAsia" w:ascii="仿宋_GB2312" w:hAnsi="仿宋_GB2312" w:eastAsia="仿宋_GB2312" w:cs="Times New Roman"/>
          <w:sz w:val="32"/>
          <w:szCs w:val="32"/>
          <w:highlight w:val="none"/>
          <w:lang w:val="en-US" w:eastAsia="zh-CN"/>
        </w:rPr>
        <w:t>通辽市科学技术协会本级、通辽市科学技术馆</w:t>
      </w:r>
      <w:r>
        <w:rPr>
          <w:rFonts w:hint="eastAsia" w:eastAsia="仿宋_GB2312" w:cs="Times New Roman"/>
          <w:sz w:val="32"/>
          <w:szCs w:val="32"/>
          <w:highlight w:val="none"/>
        </w:rPr>
        <w:t>。</w:t>
      </w:r>
    </w:p>
    <w:p>
      <w:pPr>
        <w:spacing w:beforeLines="0" w:afterLines="0" w:line="360" w:lineRule="auto"/>
        <w:ind w:firstLine="640"/>
        <w:jc w:val="both"/>
        <w:rPr>
          <w:rFonts w:ascii="times_new_roman" w:hAnsi="times_new_roman" w:eastAsia="times_new_roman" w:cs="times_new_roman"/>
          <w:kern w:val="0"/>
          <w:sz w:val="27"/>
          <w:szCs w:val="27"/>
        </w:rPr>
      </w:pPr>
      <w:r>
        <w:rPr>
          <w:rFonts w:ascii="times_new_roman" w:hAnsi="times_new_roman" w:eastAsia="times_new_roman" w:cs="times_new_roman"/>
          <w:kern w:val="0"/>
          <w:sz w:val="27"/>
          <w:szCs w:val="27"/>
        </w:rPr>
        <w:t xml:space="preserve">    </w:t>
      </w:r>
    </w:p>
    <w:p>
      <w:pPr>
        <w:spacing w:beforeLines="0" w:afterLines="0" w:line="360" w:lineRule="auto"/>
        <w:ind w:firstLine="640"/>
        <w:jc w:val="both"/>
        <w:rPr>
          <w:rFonts w:ascii="times_new_roman" w:hAnsi="times_new_roman" w:eastAsia="times_new_roman" w:cs="times_new_roman"/>
          <w:kern w:val="0"/>
          <w:sz w:val="27"/>
          <w:szCs w:val="27"/>
        </w:rPr>
      </w:pPr>
    </w:p>
    <w:p>
      <w:pPr>
        <w:spacing w:beforeLines="0" w:afterLines="0" w:line="360" w:lineRule="auto"/>
        <w:ind w:firstLine="640"/>
        <w:jc w:val="both"/>
        <w:rPr>
          <w:rFonts w:ascii="times_new_roman" w:hAnsi="times_new_roman" w:eastAsia="times_new_roman" w:cs="times_new_roman"/>
          <w:kern w:val="0"/>
          <w:sz w:val="27"/>
          <w:szCs w:val="27"/>
        </w:rPr>
      </w:pPr>
    </w:p>
    <w:p>
      <w:pPr>
        <w:spacing w:beforeLines="0" w:afterLines="0" w:line="360" w:lineRule="auto"/>
        <w:ind w:firstLine="640"/>
        <w:jc w:val="both"/>
        <w:rPr>
          <w:rFonts w:ascii="times_new_roman" w:hAnsi="times_new_roman" w:eastAsia="times_new_roman" w:cs="times_new_roman"/>
          <w:kern w:val="0"/>
          <w:sz w:val="27"/>
          <w:szCs w:val="27"/>
        </w:rPr>
      </w:pPr>
    </w:p>
    <w:p>
      <w:pPr>
        <w:spacing w:beforeLines="0" w:afterLines="0" w:line="360" w:lineRule="auto"/>
        <w:ind w:firstLine="640"/>
        <w:jc w:val="both"/>
        <w:rPr>
          <w:rFonts w:ascii="times_new_roman" w:hAnsi="times_new_roman" w:eastAsia="times_new_roman" w:cs="times_new_roman"/>
          <w:kern w:val="0"/>
          <w:sz w:val="27"/>
          <w:szCs w:val="27"/>
        </w:rPr>
      </w:pPr>
    </w:p>
    <w:p>
      <w:pPr>
        <w:spacing w:beforeLines="0" w:afterLines="0" w:line="360" w:lineRule="auto"/>
        <w:ind w:firstLine="640"/>
        <w:jc w:val="both"/>
        <w:rPr>
          <w:rFonts w:ascii="times_new_roman" w:hAnsi="times_new_roman" w:eastAsia="times_new_roman" w:cs="times_new_roman"/>
          <w:kern w:val="0"/>
          <w:sz w:val="27"/>
          <w:szCs w:val="27"/>
        </w:rPr>
      </w:pPr>
    </w:p>
    <w:p>
      <w:pPr>
        <w:spacing w:beforeLines="0" w:afterLines="0" w:line="360" w:lineRule="auto"/>
        <w:ind w:firstLine="640"/>
        <w:jc w:val="both"/>
        <w:rPr>
          <w:rFonts w:ascii="times_new_roman" w:hAnsi="times_new_roman" w:eastAsia="times_new_roman" w:cs="times_new_roman"/>
          <w:kern w:val="0"/>
          <w:sz w:val="27"/>
          <w:szCs w:val="27"/>
        </w:rPr>
      </w:pPr>
    </w:p>
    <w:p>
      <w:pPr>
        <w:spacing w:beforeLines="0" w:afterLines="0" w:line="360" w:lineRule="auto"/>
        <w:ind w:firstLine="640"/>
        <w:jc w:val="both"/>
        <w:rPr>
          <w:rFonts w:ascii="times_new_roman" w:hAnsi="times_new_roman" w:eastAsia="times_new_roman" w:cs="times_new_roman"/>
          <w:kern w:val="0"/>
          <w:sz w:val="27"/>
          <w:szCs w:val="27"/>
        </w:rPr>
      </w:pPr>
    </w:p>
    <w:p>
      <w:pPr>
        <w:numPr>
          <w:ilvl w:val="0"/>
          <w:numId w:val="2"/>
        </w:numPr>
        <w:spacing w:beforeLines="0" w:afterLines="0" w:line="360" w:lineRule="auto"/>
        <w:ind w:left="538" w:leftChars="256" w:firstLine="329" w:firstLineChars="103"/>
        <w:jc w:val="both"/>
        <w:rPr>
          <w:rFonts w:hint="eastAsia" w:ascii="仿宋_GB2312" w:hAnsi="仿宋_GB2312" w:eastAsia="仿宋_GB2312"/>
          <w:color w:val="auto"/>
          <w:kern w:val="2"/>
          <w:sz w:val="32"/>
          <w:szCs w:val="24"/>
        </w:rPr>
      </w:pPr>
      <w:r>
        <w:rPr>
          <w:rFonts w:hint="eastAsia" w:ascii="仿宋_GB2312" w:hAnsi="仿宋_GB2312" w:eastAsia="仿宋_GB2312"/>
          <w:color w:val="auto"/>
          <w:kern w:val="2"/>
          <w:sz w:val="32"/>
          <w:szCs w:val="24"/>
        </w:rPr>
        <w:t>从</w:t>
      </w:r>
      <w:r>
        <w:rPr>
          <w:rFonts w:hint="eastAsia" w:ascii="仿宋_GB2312" w:hAnsi="仿宋_GB2312" w:eastAsia="仿宋_GB2312"/>
          <w:color w:val="auto"/>
          <w:kern w:val="2"/>
          <w:sz w:val="32"/>
          <w:szCs w:val="24"/>
          <w:lang w:val="en-US" w:eastAsia="zh-CN"/>
        </w:rPr>
        <w:t>2.</w:t>
      </w:r>
      <w:r>
        <w:rPr>
          <w:rFonts w:hint="eastAsia" w:ascii="仿宋_GB2312" w:hAnsi="仿宋_GB2312" w:eastAsia="仿宋_GB2312"/>
          <w:color w:val="auto"/>
          <w:kern w:val="2"/>
          <w:sz w:val="32"/>
          <w:szCs w:val="24"/>
        </w:rPr>
        <w:t>决算单位构成看，纳入本部门202</w:t>
      </w:r>
      <w:r>
        <w:rPr>
          <w:rFonts w:hint="eastAsia" w:ascii="仿宋_GB2312" w:hAnsi="仿宋_GB2312" w:eastAsia="仿宋_GB2312"/>
          <w:color w:val="auto"/>
          <w:kern w:val="2"/>
          <w:sz w:val="32"/>
          <w:szCs w:val="24"/>
          <w:lang w:val="en-US" w:eastAsia="zh-CN"/>
        </w:rPr>
        <w:t>3</w:t>
      </w:r>
      <w:r>
        <w:rPr>
          <w:rFonts w:hint="eastAsia" w:ascii="仿宋_GB2312" w:hAnsi="仿宋_GB2312" w:eastAsia="仿宋_GB2312"/>
          <w:color w:val="auto"/>
          <w:kern w:val="2"/>
          <w:sz w:val="32"/>
          <w:szCs w:val="24"/>
        </w:rPr>
        <w:t>年部门汇总决算编制范围的</w:t>
      </w:r>
    </w:p>
    <w:p>
      <w:pPr>
        <w:numPr>
          <w:numId w:val="0"/>
        </w:numPr>
        <w:spacing w:beforeLines="0" w:afterLines="0" w:line="360" w:lineRule="auto"/>
        <w:jc w:val="both"/>
        <w:rPr>
          <w:rFonts w:ascii="Calibri" w:hAnsi="Calibri" w:eastAsia="Calibri" w:cs="Calibri"/>
          <w:b/>
          <w:bCs/>
          <w:kern w:val="0"/>
          <w:sz w:val="27"/>
          <w:szCs w:val="27"/>
        </w:rPr>
      </w:pPr>
      <w:r>
        <w:rPr>
          <w:rFonts w:hint="eastAsia" w:ascii="仿宋_GB2312" w:hAnsi="仿宋_GB2312" w:eastAsia="仿宋_GB2312"/>
          <w:color w:val="auto"/>
          <w:kern w:val="2"/>
          <w:sz w:val="32"/>
          <w:szCs w:val="24"/>
        </w:rPr>
        <w:t>预算单位共计</w:t>
      </w:r>
      <w:r>
        <w:rPr>
          <w:rFonts w:hint="eastAsia" w:ascii="仿宋_GB2312" w:hAnsi="仿宋_GB2312" w:eastAsia="仿宋_GB2312"/>
          <w:color w:val="auto"/>
          <w:kern w:val="2"/>
          <w:sz w:val="32"/>
          <w:szCs w:val="24"/>
          <w:lang w:val="en-US" w:eastAsia="zh-CN"/>
        </w:rPr>
        <w:t>2</w:t>
      </w:r>
      <w:r>
        <w:rPr>
          <w:rFonts w:hint="eastAsia" w:ascii="仿宋_GB2312" w:hAnsi="仿宋_GB2312" w:eastAsia="仿宋_GB2312"/>
          <w:color w:val="auto"/>
          <w:kern w:val="2"/>
          <w:sz w:val="32"/>
          <w:szCs w:val="24"/>
        </w:rPr>
        <w:t>家，具体包括：</w:t>
      </w:r>
      <w:r>
        <w:rPr>
          <w:rFonts w:hint="eastAsia" w:ascii="仿宋_GB2312" w:hAnsi="仿宋_GB2312" w:eastAsia="仿宋_GB2312"/>
          <w:color w:val="auto"/>
          <w:kern w:val="2"/>
          <w:sz w:val="32"/>
          <w:szCs w:val="24"/>
          <w:lang w:val="en-US" w:eastAsia="zh-CN"/>
        </w:rPr>
        <w:t>内蒙古自治区</w:t>
      </w:r>
      <w:r>
        <w:rPr>
          <w:rFonts w:hint="eastAsia" w:ascii="仿宋_GB2312" w:hAnsi="仿宋_GB2312" w:eastAsia="仿宋_GB2312" w:cs="仿宋"/>
          <w:sz w:val="32"/>
          <w:szCs w:val="32"/>
          <w:highlight w:val="none"/>
          <w:lang w:val="en-US" w:eastAsia="zh-CN"/>
        </w:rPr>
        <w:t>通辽市科学技术协会</w:t>
      </w:r>
      <w:r>
        <w:rPr>
          <w:rFonts w:hint="eastAsia" w:eastAsia="仿宋_GB2312" w:cs="Times New Roman"/>
          <w:sz w:val="32"/>
          <w:szCs w:val="32"/>
          <w:highlight w:val="none"/>
        </w:rPr>
        <w:t>部门本级、</w:t>
      </w:r>
      <w:r>
        <w:rPr>
          <w:rFonts w:hint="eastAsia" w:ascii="仿宋_GB2312" w:hAnsi="仿宋_GB2312" w:eastAsia="仿宋_GB2312" w:cs="仿宋"/>
          <w:sz w:val="32"/>
          <w:szCs w:val="32"/>
          <w:highlight w:val="none"/>
          <w:lang w:val="en-US" w:eastAsia="zh-CN"/>
        </w:rPr>
        <w:t>通辽市科学技术馆</w:t>
      </w:r>
      <w:r>
        <w:rPr>
          <w:rFonts w:hint="eastAsia" w:ascii="仿宋_GB2312" w:hAnsi="仿宋_GB2312" w:eastAsia="仿宋_GB2312"/>
          <w:color w:val="auto"/>
          <w:kern w:val="2"/>
          <w:sz w:val="32"/>
          <w:szCs w:val="24"/>
        </w:rPr>
        <w:t>。详细情况见表：</w:t>
      </w:r>
      <w:r>
        <w:rPr>
          <w:rFonts w:ascii="Calibri" w:hAnsi="Calibri" w:eastAsia="Calibri" w:cs="Calibri"/>
          <w:b/>
          <w:bCs/>
          <w:kern w:val="0"/>
          <w:sz w:val="27"/>
          <w:szCs w:val="27"/>
        </w:rPr>
        <w:t> </w:t>
      </w:r>
    </w:p>
    <w:p>
      <w:bookmarkStart w:id="1" w:name="_GoBack"/>
      <w:bookmarkEnd w:id="1"/>
    </w:p>
    <w:p>
      <w:pPr>
        <w:widowControl/>
        <w:spacing w:before="240" w:after="240"/>
        <w:jc w:val="left"/>
        <w:rPr>
          <w:rFonts w:ascii="Times New Roman" w:hAnsi="Times New Roman" w:eastAsia="Times New Roman" w:cs="Times New Roman"/>
          <w:kern w:val="0"/>
          <w:sz w:val="24"/>
        </w:rPr>
      </w:pPr>
      <w:r>
        <w:rPr>
          <w:rFonts w:ascii="黑体" w:hAnsi="黑体" w:eastAsia="黑体" w:cs="黑体"/>
          <w:b/>
          <w:bCs/>
          <w:kern w:val="0"/>
          <w:sz w:val="27"/>
          <w:szCs w:val="27"/>
        </w:rPr>
        <w:t xml:space="preserve"> </w:t>
      </w:r>
      <w:r>
        <w:rPr>
          <w:rFonts w:hint="eastAsia" w:ascii="黑体" w:hAnsi="黑体" w:eastAsia="黑体" w:cs="黑体"/>
          <w:b/>
          <w:bCs/>
          <w:kern w:val="0"/>
          <w:sz w:val="27"/>
          <w:szCs w:val="27"/>
          <w:lang w:val="en-US" w:eastAsia="zh-CN"/>
        </w:rPr>
        <w:t xml:space="preserve">     </w:t>
      </w:r>
      <w:r>
        <w:rPr>
          <w:rFonts w:hint="eastAsia" w:ascii="黑体" w:hAnsi="黑体" w:eastAsia="黑体" w:cs="黑体"/>
          <w:b/>
          <w:bCs/>
          <w:kern w:val="0"/>
          <w:sz w:val="32"/>
          <w:szCs w:val="32"/>
          <w:lang w:val="en-US" w:eastAsia="zh-CN"/>
        </w:rPr>
        <w:t xml:space="preserve">  </w:t>
      </w:r>
      <w:r>
        <w:rPr>
          <w:rFonts w:ascii="黑体" w:hAnsi="黑体" w:eastAsia="黑体" w:cs="黑体"/>
          <w:b/>
          <w:bCs/>
          <w:kern w:val="0"/>
          <w:sz w:val="32"/>
          <w:szCs w:val="32"/>
        </w:rPr>
        <w:t>三、2023年度部门主要工作完成情况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b/>
          <w:bCs/>
          <w:sz w:val="32"/>
          <w:szCs w:val="32"/>
          <w:lang w:eastAsia="zh-CN"/>
        </w:rPr>
        <w:t>（一）高标准抓好主题教育，</w:t>
      </w:r>
      <w:r>
        <w:rPr>
          <w:rFonts w:hint="eastAsia" w:ascii="仿宋_GB2312" w:hAnsi="仿宋_GB2312" w:eastAsia="仿宋_GB2312" w:cs="仿宋_GB2312"/>
          <w:b/>
          <w:bCs/>
          <w:sz w:val="32"/>
          <w:szCs w:val="32"/>
        </w:rPr>
        <w:t>思想政治引领</w:t>
      </w:r>
      <w:r>
        <w:rPr>
          <w:rFonts w:hint="eastAsia" w:ascii="仿宋_GB2312" w:hAnsi="仿宋_GB2312" w:eastAsia="仿宋_GB2312" w:cs="仿宋_GB2312"/>
          <w:b/>
          <w:bCs/>
          <w:sz w:val="32"/>
          <w:szCs w:val="32"/>
          <w:lang w:eastAsia="zh-CN"/>
        </w:rPr>
        <w:t>工作更加显著</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加强理论学习，打牢思想基础。</w:t>
      </w:r>
      <w:r>
        <w:rPr>
          <w:rFonts w:hint="eastAsia" w:ascii="仿宋_GB2312" w:hAnsi="仿宋_GB2312" w:eastAsia="仿宋_GB2312" w:cs="仿宋_GB2312"/>
          <w:b w:val="0"/>
          <w:bCs w:val="0"/>
          <w:sz w:val="32"/>
          <w:szCs w:val="32"/>
          <w:lang w:eastAsia="zh-CN"/>
        </w:rPr>
        <w:t>以“第一议题”制度专题学、理论学习中心组引领学、支部组织生活常态学、青年理论学习小组深化学为抓手，扎实推动主题教育理论学习入脑入心、走深走实。截至目前，中心组学习</w:t>
      </w:r>
      <w:r>
        <w:rPr>
          <w:rFonts w:hint="eastAsia" w:ascii="仿宋_GB2312" w:hAnsi="仿宋_GB2312" w:eastAsia="仿宋_GB2312" w:cs="仿宋_GB2312"/>
          <w:b w:val="0"/>
          <w:bCs w:val="0"/>
          <w:sz w:val="32"/>
          <w:szCs w:val="32"/>
          <w:lang w:val="en-US" w:eastAsia="zh-CN"/>
        </w:rPr>
        <w:t>17次，研讨交流8次，其中，</w:t>
      </w:r>
      <w:r>
        <w:rPr>
          <w:rFonts w:hint="eastAsia" w:ascii="仿宋_GB2312" w:hAnsi="仿宋_GB2312" w:eastAsia="仿宋_GB2312" w:cs="仿宋_GB2312"/>
          <w:b w:val="0"/>
          <w:bCs w:val="0"/>
          <w:sz w:val="32"/>
          <w:szCs w:val="32"/>
          <w:lang w:eastAsia="zh-CN"/>
        </w:rPr>
        <w:t>中心组主题教育专题学习</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次、专题研讨</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次，举办读书班</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期，机关党支部、科技馆党支部通过集体学习、“三会一课”、主题党日等方式开展专题学习</w:t>
      </w:r>
      <w:r>
        <w:rPr>
          <w:rFonts w:hint="eastAsia" w:ascii="仿宋_GB2312" w:hAnsi="仿宋_GB2312" w:eastAsia="仿宋_GB2312" w:cs="仿宋_GB2312"/>
          <w:b w:val="0"/>
          <w:bCs w:val="0"/>
          <w:sz w:val="32"/>
          <w:szCs w:val="32"/>
          <w:lang w:val="en-US" w:eastAsia="zh-CN"/>
        </w:rPr>
        <w:t>26</w:t>
      </w:r>
      <w:r>
        <w:rPr>
          <w:rFonts w:hint="eastAsia" w:ascii="仿宋_GB2312" w:hAnsi="仿宋_GB2312" w:eastAsia="仿宋_GB2312" w:cs="仿宋_GB2312"/>
          <w:b w:val="0"/>
          <w:bCs w:val="0"/>
          <w:sz w:val="32"/>
          <w:szCs w:val="32"/>
          <w:lang w:eastAsia="zh-CN"/>
        </w:rPr>
        <w:t>次。</w:t>
      </w:r>
      <w:r>
        <w:rPr>
          <w:rFonts w:hint="eastAsia" w:ascii="仿宋_GB2312" w:hAnsi="仿宋_GB2312" w:eastAsia="仿宋_GB2312" w:cs="仿宋_GB2312"/>
          <w:b/>
          <w:bCs/>
          <w:sz w:val="32"/>
          <w:szCs w:val="32"/>
          <w:lang w:eastAsia="zh-CN"/>
        </w:rPr>
        <w:t>注重精准选题，深入调查研究。</w:t>
      </w:r>
      <w:r>
        <w:rPr>
          <w:rFonts w:hint="eastAsia" w:ascii="仿宋_GB2312" w:hAnsi="仿宋_GB2312" w:eastAsia="仿宋_GB2312" w:cs="仿宋_GB2312"/>
          <w:b w:val="0"/>
          <w:bCs w:val="0"/>
          <w:sz w:val="32"/>
          <w:szCs w:val="32"/>
          <w:lang w:eastAsia="zh-CN"/>
        </w:rPr>
        <w:t>坚持问题导向，科学选定调研课题，班子成员深入农村牧区、企业园区、高校院所等开展调研10次，认真组织“回头看”，进一步完善问题清单。全面梳理汇总调研情况，形成调研报告3篇，梳理突出问题4个，制定具体整改措施9项，整改落实3个。并组织基层党组织、各部室、科技馆在各自业务领域广泛开展调研，形成调研报告5篇。</w:t>
      </w:r>
      <w:r>
        <w:rPr>
          <w:rFonts w:hint="eastAsia" w:ascii="仿宋_GB2312" w:hAnsi="仿宋_GB2312" w:eastAsia="仿宋_GB2312" w:cs="仿宋_GB2312"/>
          <w:b/>
          <w:bCs/>
          <w:sz w:val="32"/>
          <w:szCs w:val="32"/>
          <w:lang w:eastAsia="zh-CN"/>
        </w:rPr>
        <w:t>感恩实干奋进，助力高质量发展。</w:t>
      </w:r>
      <w:r>
        <w:rPr>
          <w:rFonts w:hint="eastAsia" w:ascii="仿宋_GB2312" w:hAnsi="仿宋_GB2312" w:eastAsia="仿宋_GB2312" w:cs="仿宋_GB2312"/>
          <w:b w:val="0"/>
          <w:bCs w:val="0"/>
          <w:sz w:val="32"/>
          <w:szCs w:val="32"/>
          <w:lang w:eastAsia="zh-CN"/>
        </w:rPr>
        <w:t>按照推动发展4项重点任务要求，紧扣职能职责，自觉把本部门放在全方位建设模范自治区中精准定位，深入开展“实干奋进勇争先”行动，围绕科协整体工作、科普队伍建设、科技经济融合、青少年科技教育等方面开展“亮晒比”，确定任务清单</w:t>
      </w:r>
      <w:r>
        <w:rPr>
          <w:rFonts w:hint="eastAsia" w:ascii="仿宋_GB2312" w:hAnsi="仿宋_GB2312" w:eastAsia="仿宋_GB2312" w:cs="仿宋_GB2312"/>
          <w:b w:val="0"/>
          <w:bCs w:val="0"/>
          <w:sz w:val="32"/>
          <w:szCs w:val="32"/>
          <w:lang w:val="en-US" w:eastAsia="zh-CN"/>
        </w:rPr>
        <w:t>8项</w:t>
      </w:r>
      <w:r>
        <w:rPr>
          <w:rFonts w:hint="eastAsia" w:ascii="仿宋_GB2312" w:hAnsi="仿宋_GB2312" w:eastAsia="仿宋_GB2312" w:cs="仿宋_GB2312"/>
          <w:b w:val="0"/>
          <w:bCs w:val="0"/>
          <w:sz w:val="32"/>
          <w:szCs w:val="32"/>
          <w:lang w:eastAsia="zh-CN"/>
        </w:rPr>
        <w:t>、承诺事项</w:t>
      </w:r>
      <w:r>
        <w:rPr>
          <w:rFonts w:hint="eastAsia" w:ascii="仿宋_GB2312" w:hAnsi="仿宋_GB2312" w:eastAsia="仿宋_GB2312" w:cs="仿宋_GB2312"/>
          <w:b w:val="0"/>
          <w:bCs w:val="0"/>
          <w:sz w:val="32"/>
          <w:szCs w:val="32"/>
          <w:lang w:val="en-US" w:eastAsia="zh-CN"/>
        </w:rPr>
        <w:t>8项</w:t>
      </w:r>
      <w:r>
        <w:rPr>
          <w:rFonts w:hint="eastAsia" w:ascii="仿宋_GB2312" w:hAnsi="仿宋_GB2312" w:eastAsia="仿宋_GB2312" w:cs="仿宋_GB2312"/>
          <w:b w:val="0"/>
          <w:bCs w:val="0"/>
          <w:sz w:val="32"/>
          <w:szCs w:val="32"/>
          <w:lang w:eastAsia="zh-CN"/>
        </w:rPr>
        <w:t>、具体举措</w:t>
      </w:r>
      <w:r>
        <w:rPr>
          <w:rFonts w:hint="eastAsia" w:ascii="仿宋_GB2312" w:hAnsi="仿宋_GB2312" w:eastAsia="仿宋_GB2312" w:cs="仿宋_GB2312"/>
          <w:b w:val="0"/>
          <w:bCs w:val="0"/>
          <w:sz w:val="32"/>
          <w:szCs w:val="32"/>
          <w:lang w:val="en-US" w:eastAsia="zh-CN"/>
        </w:rPr>
        <w:t>18项</w:t>
      </w:r>
      <w:r>
        <w:rPr>
          <w:rFonts w:hint="eastAsia" w:ascii="仿宋_GB2312" w:hAnsi="仿宋_GB2312" w:eastAsia="仿宋_GB2312" w:cs="仿宋_GB2312"/>
          <w:b w:val="0"/>
          <w:bCs w:val="0"/>
          <w:sz w:val="32"/>
          <w:szCs w:val="32"/>
          <w:lang w:eastAsia="zh-CN"/>
        </w:rPr>
        <w:t>，力争在全区争进位、争名次。</w:t>
      </w:r>
      <w:r>
        <w:rPr>
          <w:rFonts w:hint="eastAsia" w:ascii="仿宋_GB2312" w:hAnsi="仿宋_GB2312" w:eastAsia="仿宋_GB2312" w:cs="仿宋_GB2312"/>
          <w:b/>
          <w:bCs/>
          <w:sz w:val="32"/>
          <w:szCs w:val="32"/>
          <w:lang w:eastAsia="zh-CN"/>
        </w:rPr>
        <w:t>做好检视整改，抓好建章立制。</w:t>
      </w:r>
      <w:r>
        <w:rPr>
          <w:rFonts w:hint="eastAsia" w:ascii="仿宋_GB2312" w:hAnsi="仿宋_GB2312" w:eastAsia="仿宋_GB2312" w:cs="仿宋_GB2312"/>
          <w:b w:val="0"/>
          <w:bCs w:val="0"/>
          <w:sz w:val="32"/>
          <w:szCs w:val="32"/>
          <w:lang w:eastAsia="zh-CN"/>
        </w:rPr>
        <w:t>综合群众反映强烈、基层表现突出、调查研究等各方面的发现和反馈，梳理汇总突出问题</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lang w:eastAsia="zh-CN"/>
        </w:rPr>
        <w:t>个，已整改完成4个；基层党组织查找问题7个，已整改完成2个。制定专项整治方案，突出抓好市直科协系统“慢、粗、虚”问题专项整治工作，全体党员干部共查找问题</w:t>
      </w:r>
      <w:r>
        <w:rPr>
          <w:rFonts w:hint="eastAsia" w:ascii="仿宋_GB2312" w:hAnsi="仿宋_GB2312" w:eastAsia="仿宋_GB2312" w:cs="仿宋_GB2312"/>
          <w:b w:val="0"/>
          <w:bCs w:val="0"/>
          <w:sz w:val="32"/>
          <w:szCs w:val="32"/>
          <w:lang w:val="en-US" w:eastAsia="zh-CN"/>
        </w:rPr>
        <w:t>86</w:t>
      </w:r>
      <w:r>
        <w:rPr>
          <w:rFonts w:hint="eastAsia" w:ascii="仿宋_GB2312" w:hAnsi="仿宋_GB2312" w:eastAsia="仿宋_GB2312" w:cs="仿宋_GB2312"/>
          <w:b w:val="0"/>
          <w:bCs w:val="0"/>
          <w:sz w:val="32"/>
          <w:szCs w:val="32"/>
          <w:lang w:eastAsia="zh-CN"/>
        </w:rPr>
        <w:t>个，目前正在全面推进整改，确保年底前全部整改完成。建立《通辽市科协重点工作定期调度推进机制》《科技工作者维权服务站职能职责》《市直科协基层党组织组织生活观察员制度》等制度，切实以制度建设成效巩固主题教育成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（二）充分发挥桥梁纽带作用，联系服务科技工作者更加紧密。以加强政治理论武装夯实理想信念根基。</w:t>
      </w:r>
      <w:r>
        <w:rPr>
          <w:rFonts w:hint="eastAsia" w:ascii="仿宋_GB2312" w:hAnsi="仿宋_GB2312" w:eastAsia="仿宋_GB2312" w:cs="仿宋_GB2312"/>
          <w:b w:val="0"/>
          <w:bCs w:val="0"/>
          <w:sz w:val="32"/>
          <w:szCs w:val="32"/>
          <w:lang w:val="en-US" w:eastAsia="zh-CN"/>
        </w:rPr>
        <w:t>坚持把团结带领广大科技工作者听党话、跟党走作为最大的政治，</w:t>
      </w:r>
      <w:r>
        <w:rPr>
          <w:rFonts w:hint="eastAsia" w:ascii="仿宋_GB2312" w:hAnsi="仿宋_GB2312" w:eastAsia="仿宋_GB2312" w:cs="仿宋_GB2312"/>
          <w:sz w:val="32"/>
          <w:szCs w:val="32"/>
          <w:lang w:val="en-US" w:eastAsia="zh-CN"/>
        </w:rPr>
        <w:t>举办学习贯彻党的二十大精神主题宣讲学习会和“全市科技工作者及科协系统党员干部学习贯彻党的二十大精神暨铸牢中华民族共同体意识理论研讨班”，深化科技工作者对党的二十大精神的学习和理解，进一步增强政治认同感和向心力，夯实党在科技界的执政基础。</w:t>
      </w:r>
      <w:r>
        <w:rPr>
          <w:rFonts w:hint="eastAsia" w:ascii="仿宋_GB2312" w:hAnsi="仿宋_GB2312" w:eastAsia="仿宋_GB2312" w:cs="仿宋_GB2312"/>
          <w:b/>
          <w:bCs/>
          <w:sz w:val="32"/>
          <w:szCs w:val="32"/>
          <w:lang w:val="en-US" w:eastAsia="zh-CN"/>
        </w:rPr>
        <w:t>以宣传表彰举荐增强组织认同。</w:t>
      </w:r>
      <w:r>
        <w:rPr>
          <w:rFonts w:hint="eastAsia" w:ascii="仿宋_GB2312" w:hAnsi="仿宋_GB2312" w:eastAsia="仿宋_GB2312" w:cs="仿宋_GB2312"/>
          <w:b w:val="0"/>
          <w:bCs w:val="0"/>
          <w:sz w:val="32"/>
          <w:szCs w:val="32"/>
          <w:lang w:val="en-US" w:eastAsia="zh-CN"/>
        </w:rPr>
        <w:t>持续加大评奖评优、向上举荐力度，</w:t>
      </w:r>
      <w:r>
        <w:rPr>
          <w:rFonts w:hint="eastAsia" w:ascii="仿宋_GB2312" w:hAnsi="仿宋_GB2312" w:eastAsia="仿宋_GB2312" w:cs="仿宋_GB2312"/>
          <w:sz w:val="32"/>
          <w:szCs w:val="32"/>
          <w:lang w:val="en-US" w:eastAsia="zh-CN"/>
        </w:rPr>
        <w:t>开展通辽市“最美科技工作者”学习宣传工作，评选表彰20名“最美科技工作者”，同时，积极做好“国家工程师奖”“中国青年女科学家奖”“自治区优秀科技工作者”等上级科协组织的科技工作者各类先进奖项的举荐和推选，进一步提高广大科技工作者的获得感和荣誉感。隆重举行庆祝第七个“全国科技工作者日”主场活动，用科技与文艺融合的方式为科技工作者献上诚挚祝福。组织市媒体记者深入基层，采访录制“最美科技工作者”专题宣传片，深入挖掘报道一批优秀科技工作者代表，全面彰显我市科技工作者的精神面貌和创新争先的形象风采，推动全社会尊重和关爱科技工作者。</w:t>
      </w:r>
      <w:r>
        <w:rPr>
          <w:rFonts w:hint="eastAsia" w:ascii="仿宋_GB2312" w:hAnsi="仿宋_GB2312" w:eastAsia="仿宋_GB2312" w:cs="仿宋_GB2312"/>
          <w:b/>
          <w:bCs/>
          <w:sz w:val="32"/>
          <w:szCs w:val="32"/>
          <w:lang w:val="en-US" w:eastAsia="zh-CN"/>
        </w:rPr>
        <w:t>以弘扬精神激发担当作为。</w:t>
      </w:r>
      <w:r>
        <w:rPr>
          <w:rFonts w:hint="eastAsia" w:ascii="仿宋_GB2312" w:hAnsi="仿宋_GB2312" w:eastAsia="仿宋_GB2312" w:cs="仿宋_GB2312"/>
          <w:sz w:val="32"/>
          <w:szCs w:val="32"/>
          <w:lang w:val="en-US" w:eastAsia="zh-CN"/>
        </w:rPr>
        <w:t>将科学家精神从抽象符号转化为生动的科学家故事，开展“众心向党，自立自强——党领导下的科学家”主题展巡展，集中展示我国科学家爱国奉献、求实创新、协同育人的崇高精神，累计5000余人参加；举办“点亮精神火炬 讲好北疆文化”科学家精神主题科普报告，累计200余人参加；开展中国科学家精神宣讲团通辽行活动，邀请李四光、于敏、黄大年等科学家的近亲好友，5位中国科学家精神宣讲团成员，深入市直机关单位、高校、各旗县市区等开展了20场主题宣讲，全市累计4350余人聆听，深刻感悟科学家精神的丰富内涵，弘扬新时代科学家精神。</w:t>
      </w:r>
      <w:r>
        <w:rPr>
          <w:rFonts w:hint="eastAsia" w:ascii="仿宋_GB2312" w:hAnsi="仿宋_GB2312" w:eastAsia="仿宋_GB2312" w:cs="仿宋_GB2312"/>
          <w:b/>
          <w:bCs/>
          <w:sz w:val="32"/>
          <w:szCs w:val="32"/>
          <w:lang w:val="en-US" w:eastAsia="zh-CN"/>
        </w:rPr>
        <w:t>以搭建服务平台凝聚合力。</w:t>
      </w:r>
      <w:r>
        <w:rPr>
          <w:rFonts w:hint="eastAsia" w:ascii="仿宋_GB2312" w:hAnsi="仿宋_GB2312" w:eastAsia="仿宋_GB2312" w:cs="仿宋_GB2312"/>
          <w:sz w:val="32"/>
          <w:szCs w:val="32"/>
          <w:lang w:val="en-US" w:eastAsia="zh-CN"/>
        </w:rPr>
        <w:t>主动对接科技工作者需求、回应期盼，着力抓实“科技工作者之家”建设，新建市生物多样性保护协会、通辽职业学院“科技工作者之家”，在科协机关高标准打造市级“科技工作者之家”，并挂牌成立“科技工作者维权服务工作站”，不折不扣地维护好、呵护好、实现好广大科技工作者的合法权益，切实增强对科技工作者的吸引力、凝聚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 w:eastAsia="zh-CN"/>
        </w:rPr>
        <w:t>（三）</w:t>
      </w:r>
      <w:r>
        <w:rPr>
          <w:rFonts w:hint="eastAsia" w:ascii="仿宋_GB2312" w:hAnsi="仿宋_GB2312" w:eastAsia="仿宋_GB2312" w:cs="仿宋_GB2312"/>
          <w:b/>
          <w:bCs/>
          <w:sz w:val="32"/>
          <w:szCs w:val="32"/>
          <w:lang w:val="en-US" w:eastAsia="zh-CN"/>
        </w:rPr>
        <w:t>推动科技与经济深度融合，服务高质量发展更加有力。激发创新创造活力，提升企业核心竞争力。</w:t>
      </w:r>
      <w:r>
        <w:rPr>
          <w:rFonts w:hint="eastAsia" w:ascii="仿宋_GB2312" w:hAnsi="仿宋_GB2312" w:eastAsia="仿宋_GB2312" w:cs="仿宋_GB2312"/>
          <w:sz w:val="32"/>
          <w:szCs w:val="32"/>
          <w:lang w:val="en-US" w:eastAsia="zh-CN"/>
        </w:rPr>
        <w:t>举办全市创新方法深度学习培训班、创新方法竞赛辅导培训班，组织企业参与自治区“创新方法大赛”，着力提升企业科技工作者的创新意识和创新能力，满足企业发展需要。联合自治区科创中心走访调研科技型企业，了解企业科技创新需求，指导推广创新方法，提高企业创新水平。积极推进企业科协组织建设，激发企业创新动能，年内新建市级企业科协5家。</w:t>
      </w:r>
      <w:r>
        <w:rPr>
          <w:rFonts w:hint="eastAsia" w:ascii="仿宋_GB2312" w:hAnsi="仿宋_GB2312" w:eastAsia="仿宋_GB2312" w:cs="仿宋_GB2312"/>
          <w:b/>
          <w:bCs/>
          <w:sz w:val="32"/>
          <w:szCs w:val="32"/>
          <w:lang w:val="en-US" w:eastAsia="zh-CN"/>
        </w:rPr>
        <w:t>发挥基层组织作用，释放科技服务效能。</w:t>
      </w:r>
      <w:r>
        <w:rPr>
          <w:rFonts w:hint="eastAsia" w:ascii="仿宋_GB2312" w:hAnsi="仿宋_GB2312" w:eastAsia="仿宋_GB2312" w:cs="仿宋_GB2312"/>
          <w:b w:val="0"/>
          <w:bCs w:val="0"/>
          <w:sz w:val="32"/>
          <w:szCs w:val="32"/>
          <w:lang w:val="en-US" w:eastAsia="zh-CN"/>
        </w:rPr>
        <w:t>以产业发展需求为导向，</w:t>
      </w:r>
      <w:r>
        <w:rPr>
          <w:rFonts w:hint="eastAsia" w:ascii="仿宋_GB2312" w:hAnsi="仿宋_GB2312" w:eastAsia="仿宋_GB2312" w:cs="仿宋_GB2312"/>
          <w:sz w:val="32"/>
          <w:szCs w:val="32"/>
          <w:lang w:val="en-US" w:eastAsia="zh-CN"/>
        </w:rPr>
        <w:t>组织老科协、农技协广泛开展林果产业、粮改饲草牧业等技术指导、培训163余场次，受益农牧民、果农达5900余人次。联合市农学会在内蒙古民族大学科技园区开展推广盐碱地玉米新品种改良技术示范，并开展50余场培训，促进产业发展提质增效。</w:t>
      </w:r>
      <w:r>
        <w:rPr>
          <w:rFonts w:hint="eastAsia" w:ascii="仿宋_GB2312" w:hAnsi="仿宋_GB2312" w:eastAsia="仿宋_GB2312" w:cs="仿宋_GB2312"/>
          <w:b/>
          <w:bCs/>
          <w:sz w:val="32"/>
          <w:szCs w:val="32"/>
          <w:lang w:val="en-US" w:eastAsia="zh-CN"/>
        </w:rPr>
        <w:t>强化品牌活动优势，扎实助力乡村振兴。</w:t>
      </w:r>
      <w:r>
        <w:rPr>
          <w:rFonts w:hint="eastAsia" w:ascii="仿宋_GB2312" w:hAnsi="仿宋_GB2312" w:eastAsia="仿宋_GB2312" w:cs="仿宋_GB2312"/>
          <w:b w:val="0"/>
          <w:bCs w:val="0"/>
          <w:sz w:val="32"/>
          <w:szCs w:val="32"/>
          <w:lang w:val="en-US" w:eastAsia="zh-CN"/>
        </w:rPr>
        <w:t>结合“百名专家走进盟市旗县科普传播行”活动，持续实施“科技工作者服务基层，助力乡村振兴”行动，组织科普专家团成员深入70个苏木乡镇、173个嘎查村，累计开展185场次实用技术培训和现场技术指导活动，指导服务9600余名农牧民，实现了68个示范嘎查村科普活动全覆盖。</w:t>
      </w:r>
      <w:r>
        <w:rPr>
          <w:rFonts w:hint="eastAsia" w:ascii="仿宋_GB2312" w:hAnsi="仿宋_GB2312" w:eastAsia="仿宋_GB2312" w:cs="仿宋_GB2312"/>
          <w:b/>
          <w:bCs/>
          <w:color w:val="auto"/>
          <w:sz w:val="32"/>
          <w:szCs w:val="32"/>
          <w:lang w:val="en-US" w:eastAsia="zh-CN"/>
        </w:rPr>
        <w:t>搭建交流合作平台，深化产学研协同创新。</w:t>
      </w:r>
      <w:r>
        <w:rPr>
          <w:rFonts w:hint="eastAsia" w:ascii="仿宋_GB2312" w:hAnsi="仿宋_GB2312" w:eastAsia="仿宋_GB2312" w:cs="仿宋_GB2312"/>
          <w:b w:val="0"/>
          <w:bCs w:val="0"/>
          <w:sz w:val="32"/>
          <w:szCs w:val="32"/>
          <w:lang w:val="en-US" w:eastAsia="zh-CN"/>
        </w:rPr>
        <w:t>开展“海智专家通辽行”系列活动，引进中国科协特聘海智专家6人次，联合市林草局、生态环境局、自然资源局、呼和浩特市环境科学学会承办全区生态环境保护与绿色发展学术会议，深入奈曼旗、扎鲁特旗开展专题辅导报告、实地调研指导和建言咨政等活动，全市党政领导干部、科技工作者共计400余人受益，直播受益人数达3万余人次；以“海智专家通辽行”活动为引领，“济大—汉恩生物产业研究院”在内蒙古汉恩生物科技有限公司揭牌成立，促进产学研用深度融合。加强与高校、科研院所的对接联系，加快推进全市“科技小院”建设工作。围绕红干椒、肉牛等特色优质产业，新建6家“科技小院”，并向自治区申报国家级“科技小院”。</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（四）充分发挥组织与资源优势，服务全民科学素质提升更加高效。持续加强科普阵地建设。</w:t>
      </w:r>
      <w:r>
        <w:rPr>
          <w:rFonts w:hint="eastAsia" w:ascii="仿宋_GB2312" w:hAnsi="仿宋_GB2312" w:eastAsia="仿宋_GB2312" w:cs="仿宋_GB2312"/>
          <w:sz w:val="32"/>
          <w:szCs w:val="32"/>
          <w:lang w:val="en-US" w:eastAsia="zh-CN"/>
        </w:rPr>
        <w:t>积极争取实施上级科普项目，获批国家、自治区科普项目27个，项目资金896万元，其中，争取中央资金656万元，自治区资金240万元，列全区第一；依托项目资金，全年为全市2364个行政村、自然村和社区征订10万多份《内蒙古科技报》和《身边科学》杂志，切实为群众提供常态化科普服务；打造全区科普教育基地15所，建设农村牧区学校科技馆2所，更新科普画廊1400平方米。制定实施《通辽市科普工作示范点建设实施方案》，确定第一批全市科普工作示范点29个，并投入10万元，支持打造提升8个科普工作示范点。推进市科技馆展区开放，投入334万元完成信息技术展厅布展，精心设计展教活动，丰富展陈资源。截至目前，共接待参观团体175个，公众12万余人次。</w:t>
      </w:r>
      <w:r>
        <w:rPr>
          <w:rFonts w:hint="eastAsia" w:ascii="仿宋_GB2312" w:hAnsi="仿宋_GB2312" w:eastAsia="仿宋_GB2312" w:cs="仿宋_GB2312"/>
          <w:b/>
          <w:bCs/>
          <w:sz w:val="32"/>
          <w:szCs w:val="32"/>
          <w:lang w:val="en-US" w:eastAsia="zh-CN"/>
        </w:rPr>
        <w:t>持续加强科普队伍建设。</w:t>
      </w:r>
      <w:r>
        <w:rPr>
          <w:rFonts w:hint="eastAsia" w:ascii="仿宋_GB2312" w:hAnsi="仿宋_GB2312" w:eastAsia="仿宋_GB2312" w:cs="仿宋_GB2312"/>
          <w:b w:val="0"/>
          <w:bCs w:val="0"/>
          <w:sz w:val="32"/>
          <w:szCs w:val="32"/>
          <w:lang w:val="en-US" w:eastAsia="zh-CN"/>
        </w:rPr>
        <w:t>高质量承办全区农村牧区科普工作研讨班暨现场推进会，</w:t>
      </w:r>
      <w:r>
        <w:rPr>
          <w:rFonts w:hint="eastAsia" w:ascii="仿宋_GB2312" w:hAnsi="仿宋_GB2312" w:eastAsia="仿宋_GB2312" w:cs="仿宋_GB2312"/>
          <w:sz w:val="32"/>
          <w:szCs w:val="32"/>
          <w:lang w:val="en-US" w:eastAsia="zh-CN"/>
        </w:rPr>
        <w:t>举办全市新时代科技志愿服务和基层科普能力提升培训班，以及全市科技志愿者和科技辅导员培训班，着力提升专兼职科普工作人员业务能力和水平。持续发展壮大科普队伍，截止目前，全市发展注册科普信息员12.6万余人，列全区第一；注册科技志愿者3.3万余人，列全区第二；传播“科普中国”权威科普信息167.2万余次，吸纳科普专家团成员419人，开展科技志愿服务活动315场次。</w:t>
      </w:r>
      <w:r>
        <w:rPr>
          <w:rFonts w:hint="eastAsia" w:ascii="仿宋_GB2312" w:hAnsi="仿宋_GB2312" w:eastAsia="仿宋_GB2312" w:cs="仿宋_GB2312"/>
          <w:b/>
          <w:bCs/>
          <w:sz w:val="32"/>
          <w:szCs w:val="32"/>
          <w:lang w:val="en-US" w:eastAsia="zh-CN"/>
        </w:rPr>
        <w:t>持续加强重点人群科普。</w:t>
      </w:r>
      <w:r>
        <w:rPr>
          <w:rFonts w:hint="eastAsia" w:ascii="仿宋_GB2312" w:hAnsi="仿宋_GB2312" w:eastAsia="仿宋_GB2312" w:cs="仿宋_GB2312"/>
          <w:b w:val="0"/>
          <w:bCs w:val="0"/>
          <w:sz w:val="32"/>
          <w:szCs w:val="32"/>
          <w:lang w:val="en-US" w:eastAsia="zh-CN"/>
        </w:rPr>
        <w:t>完善沟通联络机制，强化合作联动，牵头制定《2023年通辽市全民科学素质建设工作要点》。扎实开展领导干部和公务员科学素质提升行动，举办“领导干部和公务员科学讲坛”8期，市直各部门1260余人参加，编印4期《科普通辽》，面向全市领导干部和公务员推介；提升基层群众科学文化素质，组织“草原轻骑兵，科普万里行”大篷车队进乡村、社区、学校等开展“服务学校 助力双减”、“民族政策宣传月”、“我为群众办实事 科技志愿服务”等系列活动125场次，行驶8800公里，受益人数达3.5万人次。开展“中国流动科技馆”巡展活动，共展出三套154件展品，巡展12站，接待参观体验者超过28.7万余人次；实施产业工人科学素质提升行动，邀请专家开展科学素养提升专题培训和创新方法培训，着力培养一线产业工人创新创造技能；进一步推进老年人科学素质工作，成立全区第一所盟市级老年科技大学，开展“智慧助老”科普巡讲活动，依托老年科技大学专家团队，深入8个旗县市区，集中开展健康养生、防治电信诈骗、智能手机应用、食品安全等科普讲座25场次，1280余名老年人受益；强化青少年科技创新教育，承办全区“大手拉小手科普报告汇”内蒙古通辽站校园巡讲活动，深入各旗县市区中小学开展了20场主题宣讲，累计5000余名青少年参加。组织参加第37届内蒙古青少年科技创新大赛，举办通辽市青少年机器人竞赛、全国青年科普创新实验暨作品大赛通辽赛区竞赛等科技类竞赛活动，开展自治区青少年科技创新后备人才培养试点工作，进一步提升青少年的创新意识和能力。</w:t>
      </w:r>
      <w:r>
        <w:rPr>
          <w:rFonts w:hint="eastAsia" w:ascii="仿宋_GB2312" w:hAnsi="仿宋_GB2312" w:eastAsia="仿宋_GB2312" w:cs="仿宋_GB2312"/>
          <w:b/>
          <w:bCs/>
          <w:sz w:val="32"/>
          <w:szCs w:val="32"/>
          <w:lang w:val="en-US" w:eastAsia="zh-CN"/>
        </w:rPr>
        <w:t>持续加强科普工作统筹协同。</w:t>
      </w:r>
      <w:r>
        <w:rPr>
          <w:rFonts w:hint="eastAsia" w:ascii="仿宋_GB2312" w:hAnsi="仿宋_GB2312" w:eastAsia="仿宋_GB2312" w:cs="仿宋_GB2312"/>
          <w:sz w:val="32"/>
          <w:szCs w:val="32"/>
          <w:lang w:val="en-US" w:eastAsia="zh-CN"/>
        </w:rPr>
        <w:t>以全国品牌科普活动为契机，搭建科普工作协作平台，联合科技局、教育局、生态环境局、妇联等10家单位共同组织开展通辽市全国科普日主场活动，联合各成员单位开展“聚力提升全民科学素质  助力高水平科技自立自强”主题展、通辽青少年高校科学营、首届通辽市花粉学术年会等72场系列联动活动，营造浓厚科普氛围，进一步形成大联合大协作科普工作格局；联合通辽电视台举办通辽市第五届公民科学素质大赛，组织参加2023年全区公民科学素质大赛年度总决赛，通辽市代表队荣获总决赛冠军，并获得“最佳网络答题奖”“优秀组织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（五）聚焦中心工作持续发力，服务党委政府科学决策更加有为。学术交流集思广益。</w:t>
      </w:r>
      <w:r>
        <w:rPr>
          <w:rFonts w:hint="eastAsia" w:ascii="仿宋_GB2312" w:hAnsi="仿宋_GB2312" w:eastAsia="仿宋_GB2312" w:cs="仿宋_GB2312"/>
          <w:sz w:val="32"/>
          <w:szCs w:val="32"/>
          <w:lang w:val="en-US" w:eastAsia="zh-CN"/>
        </w:rPr>
        <w:t>举办“保护生物多样性 推进乡村生态振兴”“‘气象+’赋能通辽市高质量发展”等学术交流活动，组织广大科技工作者深入交流、碰撞思想，积极为推动高质量发展建言献策。</w:t>
      </w:r>
      <w:r>
        <w:rPr>
          <w:rFonts w:hint="eastAsia" w:ascii="仿宋_GB2312" w:hAnsi="仿宋_GB2312" w:eastAsia="仿宋_GB2312" w:cs="仿宋_GB2312"/>
          <w:b/>
          <w:bCs/>
          <w:sz w:val="32"/>
          <w:szCs w:val="32"/>
          <w:lang w:val="en-US" w:eastAsia="zh-CN"/>
        </w:rPr>
        <w:t>建议征集共谋发展。</w:t>
      </w:r>
      <w:r>
        <w:rPr>
          <w:rFonts w:hint="eastAsia" w:ascii="仿宋_GB2312" w:hAnsi="仿宋_GB2312" w:eastAsia="仿宋_GB2312" w:cs="仿宋_GB2312"/>
          <w:sz w:val="32"/>
          <w:szCs w:val="32"/>
          <w:lang w:val="en-US" w:eastAsia="zh-CN"/>
        </w:rPr>
        <w:t>开展年度科技工作者建议征集活动，共征集科技工作者建议50余篇，筛选22篇建议编制建议汇编，择优选取3篇报送市委市政府领导供决策参考。</w:t>
      </w:r>
      <w:r>
        <w:rPr>
          <w:rFonts w:hint="eastAsia" w:ascii="仿宋_GB2312" w:hAnsi="仿宋_GB2312" w:eastAsia="仿宋_GB2312" w:cs="仿宋_GB2312"/>
          <w:b/>
          <w:bCs/>
          <w:sz w:val="32"/>
          <w:szCs w:val="32"/>
          <w:lang w:val="en-US" w:eastAsia="zh-CN"/>
        </w:rPr>
        <w:t>报送信息提供参考。</w:t>
      </w:r>
      <w:r>
        <w:rPr>
          <w:rFonts w:hint="eastAsia" w:ascii="仿宋_GB2312" w:hAnsi="仿宋_GB2312" w:eastAsia="仿宋_GB2312" w:cs="仿宋_GB2312"/>
          <w:sz w:val="32"/>
          <w:szCs w:val="32"/>
          <w:lang w:val="en-US" w:eastAsia="zh-CN"/>
        </w:rPr>
        <w:t>进一步加强科协系统信息工作，完善信息报送工作机制，提高信息的质量和水平，积极上报科协工作动态、党政信息，为党委政府科学决策和相关部门服务管理提供依据和参考。截止目前，累计上报信息113篇，其中，央广网采用1篇，人民日报采用2篇，中国科协采用29篇，自治区级媒体草原全媒采用5篇、内蒙古日报、奔腾融媒、新浪新闻、今日头条、综合新闻网、正北方网等各采用1篇，自治区科协采用48篇，市委《市级经验大起底》、信息交流周刊各1篇、每日要情3篇，市政府官方网站采用4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sz w:val="32"/>
          <w:szCs w:val="32"/>
          <w:lang w:val="en-US" w:eastAsia="zh-CN"/>
        </w:rPr>
        <w:t>（六）全面激发科协组织活力，干事创业动能更加强劲。</w:t>
      </w:r>
      <w:r>
        <w:rPr>
          <w:rFonts w:hint="eastAsia" w:ascii="仿宋_GB2312" w:hAnsi="仿宋_GB2312" w:eastAsia="仿宋_GB2312" w:cs="仿宋_GB2312"/>
          <w:b/>
          <w:bCs/>
          <w:sz w:val="32"/>
          <w:szCs w:val="32"/>
          <w:lang w:eastAsia="zh-CN"/>
        </w:rPr>
        <w:t>严管</w:t>
      </w:r>
      <w:r>
        <w:rPr>
          <w:rFonts w:hint="eastAsia" w:ascii="仿宋_GB2312" w:hAnsi="仿宋_GB2312" w:eastAsia="仿宋_GB2312" w:cs="仿宋_GB2312"/>
          <w:b/>
          <w:bCs/>
          <w:sz w:val="32"/>
          <w:szCs w:val="32"/>
        </w:rPr>
        <w:t>意识形态工作。</w:t>
      </w:r>
      <w:r>
        <w:rPr>
          <w:rFonts w:hint="eastAsia" w:ascii="仿宋_GB2312" w:hAnsi="仿宋_GB2312" w:eastAsia="仿宋_GB2312" w:cs="仿宋_GB2312"/>
          <w:b w:val="0"/>
          <w:bCs w:val="0"/>
          <w:sz w:val="32"/>
          <w:szCs w:val="32"/>
          <w:lang w:eastAsia="zh-CN"/>
        </w:rPr>
        <w:t>严格</w:t>
      </w:r>
      <w:r>
        <w:rPr>
          <w:rFonts w:hint="eastAsia" w:ascii="仿宋_GB2312" w:hAnsi="仿宋_GB2312" w:eastAsia="仿宋_GB2312" w:cs="仿宋_GB2312"/>
          <w:sz w:val="32"/>
          <w:szCs w:val="32"/>
        </w:rPr>
        <w:t>落实意识形态工作责任制，健全风险防范研判预警机制，</w:t>
      </w:r>
      <w:r>
        <w:rPr>
          <w:rFonts w:hint="eastAsia" w:ascii="仿宋_GB2312" w:hAnsi="仿宋_GB2312" w:eastAsia="仿宋_GB2312" w:cs="仿宋_GB2312"/>
          <w:sz w:val="32"/>
          <w:szCs w:val="32"/>
          <w:lang w:val="en-US" w:eastAsia="zh-CN"/>
        </w:rPr>
        <w:t>制定印发《通辽市科协2023年意识形态工作要点》，修订完善《通辽市科协网络舆情与信息安全应急预案》等制度机制，加强安全防范，</w:t>
      </w:r>
      <w:r>
        <w:rPr>
          <w:rFonts w:hint="eastAsia" w:ascii="仿宋_GB2312" w:hAnsi="仿宋_GB2312" w:eastAsia="仿宋_GB2312" w:cs="仿宋_GB2312"/>
          <w:sz w:val="32"/>
          <w:szCs w:val="32"/>
        </w:rPr>
        <w:t>切实履行好所属网站、微信公众号等传媒平台，学术交流、科学普及、决策咨询和建言献策等重大活动、重要载体意识形态阵地等监管责任。</w:t>
      </w:r>
      <w:r>
        <w:rPr>
          <w:rFonts w:hint="eastAsia" w:ascii="仿宋_GB2312" w:hAnsi="仿宋_GB2312" w:eastAsia="仿宋_GB2312" w:cs="仿宋_GB2312"/>
          <w:sz w:val="32"/>
          <w:szCs w:val="32"/>
          <w:lang w:val="en-US" w:eastAsia="zh-CN"/>
        </w:rPr>
        <w:t>全年未发生舆情事件。</w:t>
      </w:r>
      <w:r>
        <w:rPr>
          <w:rFonts w:hint="eastAsia" w:ascii="仿宋_GB2312" w:hAnsi="仿宋_GB2312" w:eastAsia="仿宋_GB2312" w:cs="仿宋_GB2312"/>
          <w:b/>
          <w:bCs/>
          <w:sz w:val="32"/>
          <w:szCs w:val="32"/>
          <w:lang w:val="en-US" w:eastAsia="zh-CN"/>
        </w:rPr>
        <w:t>强化基层组织建设。</w:t>
      </w:r>
      <w:r>
        <w:rPr>
          <w:rFonts w:hint="eastAsia" w:ascii="仿宋_GB2312" w:hAnsi="仿宋_GB2312" w:eastAsia="仿宋_GB2312" w:cs="仿宋_GB2312"/>
          <w:sz w:val="32"/>
          <w:szCs w:val="32"/>
          <w:lang w:val="en-US" w:eastAsia="zh-CN"/>
        </w:rPr>
        <w:t>组织旗县市区科协，市直学会、协会，部分农技协负责人赴宁波市开展基层科协组织能力提升专题学习考察活动，为全市科协基层组织在创新发展方面提供新思路，开阔新视角。召开所属学会工作会议，制定实施《学会联席会议制度》，切实加强学会组织管理建设。</w:t>
      </w:r>
      <w:r>
        <w:rPr>
          <w:rFonts w:hint="eastAsia" w:ascii="仿宋_GB2312" w:hAnsi="仿宋_GB2312" w:eastAsia="仿宋_GB2312" w:cs="仿宋_GB2312"/>
          <w:b/>
          <w:bCs/>
          <w:sz w:val="32"/>
          <w:szCs w:val="32"/>
          <w:lang w:val="en-US" w:eastAsia="zh-CN"/>
        </w:rPr>
        <w:t>抓好干部队伍建设。</w:t>
      </w:r>
      <w:r>
        <w:rPr>
          <w:rFonts w:hint="eastAsia" w:ascii="仿宋_GB2312" w:hAnsi="仿宋_GB2312" w:eastAsia="仿宋_GB2312" w:cs="仿宋_GB2312"/>
          <w:sz w:val="32"/>
          <w:szCs w:val="32"/>
          <w:lang w:val="en-US" w:eastAsia="zh-CN"/>
        </w:rPr>
        <w:t>扎实开展“三比三创”“北疆模范机关”、坚强堡垒“模范支部”创建等活动，推动党建工作与业务工作深度融合；全面开展“廉洁文化进机关”活动，组织全体党员干部签订“廉洁承诺书”，先后开展警示教育2次、专题研讨2次、党支部书记讲党课2次、党员干部谈心谈话1次。</w:t>
      </w:r>
      <w:r>
        <w:rPr>
          <w:rFonts w:hint="eastAsia" w:ascii="仿宋_GB2312" w:hAnsi="仿宋_GB2312" w:eastAsia="仿宋_GB2312" w:cs="仿宋_GB2312"/>
          <w:b/>
          <w:bCs/>
          <w:sz w:val="32"/>
          <w:szCs w:val="32"/>
          <w:lang w:eastAsia="zh-CN"/>
        </w:rPr>
        <w:t>加强民族团结进步工作。</w:t>
      </w:r>
      <w:r>
        <w:rPr>
          <w:rFonts w:hint="eastAsia" w:ascii="仿宋_GB2312" w:hAnsi="仿宋_GB2312" w:eastAsia="仿宋_GB2312" w:cs="仿宋_GB2312"/>
          <w:b w:val="0"/>
          <w:bCs w:val="0"/>
          <w:sz w:val="32"/>
          <w:szCs w:val="32"/>
          <w:lang w:eastAsia="zh-CN"/>
        </w:rPr>
        <w:t>扎实有序开展自治区民族团结进步示范单位创建工作，切实履行共驻共建责任，</w:t>
      </w:r>
      <w:r>
        <w:rPr>
          <w:rFonts w:hint="eastAsia" w:ascii="仿宋_GB2312" w:hAnsi="仿宋_GB2312" w:eastAsia="仿宋_GB2312" w:cs="仿宋_GB2312"/>
          <w:b w:val="0"/>
          <w:bCs w:val="0"/>
          <w:sz w:val="32"/>
          <w:szCs w:val="32"/>
          <w:lang w:val="en-US" w:eastAsia="zh-CN"/>
        </w:rPr>
        <w:t>深入</w:t>
      </w:r>
      <w:r>
        <w:rPr>
          <w:rFonts w:hint="eastAsia" w:ascii="仿宋_GB2312" w:hAnsi="仿宋_GB2312" w:eastAsia="仿宋_GB2312" w:cs="仿宋_GB2312"/>
          <w:b w:val="0"/>
          <w:bCs w:val="0"/>
          <w:sz w:val="32"/>
          <w:szCs w:val="32"/>
          <w:lang w:eastAsia="zh-CN"/>
        </w:rPr>
        <w:t>包联社区及扶贫联系点开展“铸牢中华民族共同体意识 携手共建文明城市”“铸牢中华民族共同体意识”民情恳谈会等主题活动；充分发挥科普资源优势，深入推进“民族团结进步</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融合发展，</w:t>
      </w:r>
      <w:r>
        <w:rPr>
          <w:rFonts w:hint="eastAsia" w:ascii="仿宋_GB2312" w:hAnsi="仿宋_GB2312" w:eastAsia="仿宋_GB2312" w:cs="仿宋_GB2312"/>
          <w:b w:val="0"/>
          <w:bCs w:val="0"/>
          <w:sz w:val="32"/>
          <w:szCs w:val="32"/>
          <w:lang w:eastAsia="zh-CN"/>
        </w:rPr>
        <w:t>制定实施《通辽市科协铸牢中华民族共同体意识“石榴籽”行动计划》，将全市农村牧区科普学校、社区科普大学、科普宣传画廊、科普教育基地</w:t>
      </w:r>
      <w:r>
        <w:rPr>
          <w:rFonts w:hint="eastAsia" w:ascii="仿宋_GB2312" w:hAnsi="仿宋_GB2312" w:eastAsia="仿宋_GB2312" w:cs="仿宋_GB2312"/>
          <w:b w:val="0"/>
          <w:bCs w:val="0"/>
          <w:sz w:val="32"/>
          <w:szCs w:val="32"/>
          <w:lang w:val="en-US" w:eastAsia="zh-CN"/>
        </w:rPr>
        <w:t>等</w:t>
      </w:r>
      <w:r>
        <w:rPr>
          <w:rFonts w:hint="eastAsia" w:ascii="仿宋_GB2312" w:hAnsi="仿宋_GB2312" w:eastAsia="仿宋_GB2312" w:cs="仿宋_GB2312"/>
          <w:b w:val="0"/>
          <w:bCs w:val="0"/>
          <w:sz w:val="32"/>
          <w:szCs w:val="32"/>
          <w:lang w:eastAsia="zh-CN"/>
        </w:rPr>
        <w:t>作为开展民族团结</w:t>
      </w:r>
      <w:r>
        <w:rPr>
          <w:rFonts w:hint="eastAsia" w:ascii="仿宋_GB2312" w:hAnsi="仿宋_GB2312" w:eastAsia="仿宋_GB2312" w:cs="仿宋_GB2312"/>
          <w:b w:val="0"/>
          <w:bCs w:val="0"/>
          <w:sz w:val="32"/>
          <w:szCs w:val="32"/>
          <w:lang w:val="en-US" w:eastAsia="zh-CN"/>
        </w:rPr>
        <w:t>进步</w:t>
      </w:r>
      <w:r>
        <w:rPr>
          <w:rFonts w:hint="eastAsia" w:ascii="仿宋_GB2312" w:hAnsi="仿宋_GB2312" w:eastAsia="仿宋_GB2312" w:cs="仿宋_GB2312"/>
          <w:b w:val="0"/>
          <w:bCs w:val="0"/>
          <w:sz w:val="32"/>
          <w:szCs w:val="32"/>
          <w:lang w:eastAsia="zh-CN"/>
        </w:rPr>
        <w:t>工作的重要平台和载体，</w:t>
      </w:r>
      <w:r>
        <w:rPr>
          <w:rFonts w:hint="eastAsia" w:ascii="仿宋_GB2312" w:hAnsi="仿宋_GB2312" w:eastAsia="仿宋_GB2312" w:cs="仿宋_GB2312"/>
          <w:b w:val="0"/>
          <w:bCs w:val="0"/>
          <w:sz w:val="32"/>
          <w:szCs w:val="32"/>
          <w:lang w:val="en-US" w:eastAsia="zh-CN"/>
        </w:rPr>
        <w:t>广泛</w:t>
      </w:r>
      <w:r>
        <w:rPr>
          <w:rFonts w:hint="eastAsia" w:ascii="仿宋_GB2312" w:hAnsi="仿宋_GB2312" w:eastAsia="仿宋_GB2312" w:cs="仿宋_GB2312"/>
          <w:b w:val="0"/>
          <w:bCs w:val="0"/>
          <w:sz w:val="32"/>
          <w:szCs w:val="32"/>
          <w:lang w:eastAsia="zh-CN"/>
        </w:rPr>
        <w:t>开展民族团结进步宣传教育，</w:t>
      </w:r>
      <w:r>
        <w:rPr>
          <w:rFonts w:hint="eastAsia" w:ascii="仿宋_GB2312" w:hAnsi="仿宋_GB2312" w:eastAsia="仿宋_GB2312" w:cs="仿宋_GB2312"/>
          <w:b w:val="0"/>
          <w:bCs w:val="0"/>
          <w:sz w:val="32"/>
          <w:szCs w:val="32"/>
          <w:lang w:val="en-US" w:eastAsia="zh-CN"/>
        </w:rPr>
        <w:t>实现了</w:t>
      </w:r>
      <w:r>
        <w:rPr>
          <w:rFonts w:hint="eastAsia" w:ascii="仿宋_GB2312" w:hAnsi="仿宋_GB2312" w:eastAsia="仿宋_GB2312" w:cs="仿宋_GB2312"/>
          <w:b w:val="0"/>
          <w:bCs w:val="0"/>
          <w:sz w:val="32"/>
          <w:szCs w:val="32"/>
          <w:lang w:eastAsia="zh-CN"/>
        </w:rPr>
        <w:t>民族团结进步工作进校园、进社区、进乡村、进企业、进机关全覆盖、</w:t>
      </w:r>
      <w:r>
        <w:rPr>
          <w:rFonts w:hint="eastAsia" w:ascii="仿宋_GB2312" w:hAnsi="仿宋_GB2312" w:eastAsia="仿宋_GB2312" w:cs="仿宋_GB2312"/>
          <w:b w:val="0"/>
          <w:bCs w:val="0"/>
          <w:sz w:val="32"/>
          <w:szCs w:val="32"/>
          <w:lang w:val="en-US" w:eastAsia="zh-CN"/>
        </w:rPr>
        <w:t>常态化</w:t>
      </w:r>
      <w:r>
        <w:rPr>
          <w:rFonts w:hint="eastAsia" w:ascii="仿宋_GB2312" w:hAnsi="仿宋_GB2312" w:eastAsia="仿宋_GB2312" w:cs="仿宋_GB2312"/>
          <w:b w:val="0"/>
          <w:bCs w:val="0"/>
          <w:sz w:val="32"/>
          <w:szCs w:val="32"/>
          <w:lang w:eastAsia="zh-CN"/>
        </w:rPr>
        <w:t>，全力营造了民族团结进步浓厚氛围。</w:t>
      </w:r>
    </w:p>
    <w:p>
      <w:pPr>
        <w:widowControl/>
        <w:spacing w:before="240" w:after="240"/>
        <w:jc w:val="left"/>
        <w:rPr>
          <w:rFonts w:ascii="Times New Roman" w:hAnsi="Times New Roman" w:eastAsia="Times New Roman" w:cs="Times New Roman"/>
          <w:kern w:val="0"/>
          <w:sz w:val="24"/>
        </w:rPr>
      </w:pPr>
    </w:p>
    <w:p>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部门决算情况说明</w:t>
      </w:r>
    </w:p>
    <w:p>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hint="eastAsia" w:ascii="黑体" w:hAnsi="黑体" w:eastAsia="黑体" w:cs="黑体"/>
          <w:b/>
          <w:bCs/>
          <w:kern w:val="0"/>
          <w:sz w:val="32"/>
          <w:szCs w:val="32"/>
          <w:lang w:val="en-US" w:eastAsia="zh-CN"/>
        </w:rPr>
        <w:t xml:space="preserve">   </w:t>
      </w:r>
      <w:r>
        <w:rPr>
          <w:rFonts w:ascii="黑体" w:hAnsi="黑体" w:eastAsia="黑体" w:cs="黑体"/>
          <w:b/>
          <w:bCs/>
          <w:kern w:val="0"/>
          <w:sz w:val="32"/>
          <w:szCs w:val="32"/>
        </w:rPr>
        <w:t>一、收入支出决算总体情况说明</w:t>
      </w:r>
    </w:p>
    <w:p>
      <w:pPr>
        <w:widowControl/>
        <w:spacing w:before="240" w:after="240"/>
        <w:rPr>
          <w:rFonts w:hint="eastAsia" w:ascii="仿宋_GB2312" w:hAnsi="仿宋_GB2312" w:eastAsia="仿宋_GB2312" w:cs="仿宋_GB2312"/>
          <w:color w:val="auto"/>
          <w:kern w:val="0"/>
          <w:sz w:val="32"/>
          <w:szCs w:val="32"/>
        </w:rPr>
      </w:pPr>
      <w:r>
        <w:rPr>
          <w:rFonts w:ascii="fang_song_gb2312" w:hAnsi="fang_song_gb2312" w:eastAsia="fang_song_gb2312" w:cs="fang_song_gb2312"/>
          <w:kern w:val="0"/>
          <w:sz w:val="27"/>
          <w:szCs w:val="27"/>
        </w:rPr>
        <w:t xml:space="preserve">    </w:t>
      </w:r>
      <w:r>
        <w:rPr>
          <w:rFonts w:hint="eastAsia" w:ascii="fang_song_gb2312" w:hAnsi="fang_song_gb2312" w:cs="fang_song_gb2312"/>
          <w:kern w:val="0"/>
          <w:sz w:val="27"/>
          <w:szCs w:val="27"/>
          <w:lang w:val="en-US" w:eastAsia="zh-CN"/>
        </w:rPr>
        <w:t xml:space="preserve">  </w:t>
      </w:r>
      <w:r>
        <w:rPr>
          <w:rFonts w:hint="eastAsia" w:ascii="仿宋_GB2312" w:hAnsi="仿宋_GB2312" w:eastAsia="仿宋_GB2312" w:cs="仿宋_GB2312"/>
          <w:color w:val="auto"/>
          <w:kern w:val="0"/>
          <w:sz w:val="32"/>
          <w:szCs w:val="32"/>
        </w:rPr>
        <w:t>内蒙古自治区通辽市科学技术协会（部门） 2023年度收入、支出决算总计</w:t>
      </w:r>
      <w:r>
        <w:rPr>
          <w:rFonts w:hint="eastAsia" w:ascii="仿宋_GB2312" w:hAnsi="仿宋_GB2312" w:eastAsia="仿宋_GB2312" w:cs="仿宋_GB2312"/>
          <w:color w:val="auto"/>
          <w:kern w:val="0"/>
          <w:sz w:val="32"/>
          <w:szCs w:val="32"/>
          <w:u w:val="single"/>
        </w:rPr>
        <w:t xml:space="preserve"> 1,397.49</w:t>
      </w:r>
      <w:r>
        <w:rPr>
          <w:rFonts w:hint="eastAsia" w:ascii="仿宋_GB2312" w:hAnsi="仿宋_GB2312" w:eastAsia="仿宋_GB2312" w:cs="仿宋_GB2312"/>
          <w:color w:val="auto"/>
          <w:kern w:val="0"/>
          <w:sz w:val="32"/>
          <w:szCs w:val="32"/>
        </w:rPr>
        <w:t>万元。与年初预算相比，收、支总计各增加</w:t>
      </w:r>
      <w:r>
        <w:rPr>
          <w:rFonts w:hint="eastAsia" w:ascii="仿宋_GB2312" w:hAnsi="仿宋_GB2312" w:eastAsia="仿宋_GB2312" w:cs="仿宋_GB2312"/>
          <w:color w:val="auto"/>
          <w:kern w:val="0"/>
          <w:sz w:val="32"/>
          <w:szCs w:val="32"/>
          <w:u w:val="single"/>
        </w:rPr>
        <w:t>585.94</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rPr>
        <w:t xml:space="preserve"> 72.20</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决算数较预算数增加科协本级和科技馆上级科普项目资金</w:t>
      </w:r>
      <w:r>
        <w:rPr>
          <w:rFonts w:hint="eastAsia" w:ascii="仿宋_GB2312" w:hAnsi="仿宋_GB2312" w:eastAsia="仿宋_GB2312" w:cs="仿宋_GB2312"/>
          <w:color w:val="auto"/>
          <w:kern w:val="0"/>
          <w:sz w:val="32"/>
          <w:szCs w:val="32"/>
        </w:rPr>
        <w:t>；与上年决算相比，收、支总计各减少</w:t>
      </w:r>
      <w:r>
        <w:rPr>
          <w:rFonts w:hint="eastAsia" w:ascii="仿宋_GB2312" w:hAnsi="仿宋_GB2312" w:eastAsia="仿宋_GB2312" w:cs="仿宋_GB2312"/>
          <w:color w:val="auto"/>
          <w:kern w:val="0"/>
          <w:sz w:val="32"/>
          <w:szCs w:val="32"/>
          <w:u w:val="single"/>
        </w:rPr>
        <w:t>286.07</w:t>
      </w:r>
      <w:r>
        <w:rPr>
          <w:rFonts w:hint="eastAsia" w:ascii="仿宋_GB2312" w:hAnsi="仿宋_GB2312" w:eastAsia="仿宋_GB2312" w:cs="仿宋_GB2312"/>
          <w:color w:val="auto"/>
          <w:kern w:val="0"/>
          <w:sz w:val="32"/>
          <w:szCs w:val="32"/>
        </w:rPr>
        <w:t>万元，减少</w:t>
      </w:r>
      <w:r>
        <w:rPr>
          <w:rFonts w:hint="eastAsia" w:ascii="仿宋_GB2312" w:hAnsi="仿宋_GB2312" w:eastAsia="仿宋_GB2312" w:cs="仿宋_GB2312"/>
          <w:color w:val="auto"/>
          <w:kern w:val="0"/>
          <w:sz w:val="32"/>
          <w:szCs w:val="32"/>
          <w:u w:val="single"/>
        </w:rPr>
        <w:t>16.99</w:t>
      </w:r>
      <w:r>
        <w:rPr>
          <w:rFonts w:hint="eastAsia" w:ascii="仿宋_GB2312" w:hAnsi="仿宋_GB2312" w:eastAsia="仿宋_GB2312" w:cs="仿宋_GB2312"/>
          <w:color w:val="auto"/>
          <w:kern w:val="0"/>
          <w:sz w:val="32"/>
          <w:szCs w:val="32"/>
        </w:rPr>
        <w:t>%。其中：</w:t>
      </w:r>
    </w:p>
    <w:p>
      <w:pPr>
        <w:widowControl/>
        <w:spacing w:before="240" w:after="24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    （一）收入决算总计</w:t>
      </w:r>
      <w:r>
        <w:rPr>
          <w:rFonts w:hint="eastAsia" w:ascii="仿宋_GB2312" w:hAnsi="仿宋_GB2312" w:eastAsia="仿宋_GB2312" w:cs="仿宋_GB2312"/>
          <w:b/>
          <w:bCs/>
          <w:color w:val="auto"/>
          <w:kern w:val="0"/>
          <w:sz w:val="32"/>
          <w:szCs w:val="32"/>
          <w:u w:val="single"/>
        </w:rPr>
        <w:t xml:space="preserve"> 1,397.49</w:t>
      </w:r>
      <w:r>
        <w:rPr>
          <w:rFonts w:hint="eastAsia" w:ascii="仿宋_GB2312" w:hAnsi="仿宋_GB2312" w:eastAsia="仿宋_GB2312" w:cs="仿宋_GB2312"/>
          <w:b/>
          <w:bCs/>
          <w:color w:val="auto"/>
          <w:kern w:val="0"/>
          <w:sz w:val="32"/>
          <w:szCs w:val="32"/>
        </w:rPr>
        <w:t>万元。包括：</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1.本年收入决算合计</w:t>
      </w:r>
      <w:r>
        <w:rPr>
          <w:rFonts w:hint="eastAsia" w:ascii="仿宋_GB2312" w:hAnsi="仿宋_GB2312" w:eastAsia="仿宋_GB2312" w:cs="仿宋_GB2312"/>
          <w:color w:val="auto"/>
          <w:kern w:val="0"/>
          <w:sz w:val="32"/>
          <w:szCs w:val="32"/>
          <w:u w:val="single"/>
        </w:rPr>
        <w:t xml:space="preserve"> 1,377.49</w:t>
      </w:r>
      <w:r>
        <w:rPr>
          <w:rFonts w:hint="eastAsia" w:ascii="仿宋_GB2312" w:hAnsi="仿宋_GB2312" w:eastAsia="仿宋_GB2312" w:cs="仿宋_GB2312"/>
          <w:color w:val="auto"/>
          <w:kern w:val="0"/>
          <w:sz w:val="32"/>
          <w:szCs w:val="32"/>
        </w:rPr>
        <w:t>万元。与上年决算相比，减少</w:t>
      </w:r>
      <w:r>
        <w:rPr>
          <w:rFonts w:hint="eastAsia" w:ascii="仿宋_GB2312" w:hAnsi="仿宋_GB2312" w:eastAsia="仿宋_GB2312" w:cs="仿宋_GB2312"/>
          <w:color w:val="auto"/>
          <w:kern w:val="0"/>
          <w:sz w:val="32"/>
          <w:szCs w:val="32"/>
          <w:u w:val="single"/>
        </w:rPr>
        <w:t xml:space="preserve"> 303.07</w:t>
      </w:r>
      <w:r>
        <w:rPr>
          <w:rFonts w:hint="eastAsia" w:ascii="仿宋_GB2312" w:hAnsi="仿宋_GB2312" w:eastAsia="仿宋_GB2312" w:cs="仿宋_GB2312"/>
          <w:color w:val="auto"/>
          <w:kern w:val="0"/>
          <w:sz w:val="32"/>
          <w:szCs w:val="32"/>
        </w:rPr>
        <w:t>万元，减少</w:t>
      </w:r>
      <w:r>
        <w:rPr>
          <w:rFonts w:hint="eastAsia" w:ascii="仿宋_GB2312" w:hAnsi="仿宋_GB2312" w:eastAsia="仿宋_GB2312" w:cs="仿宋_GB2312"/>
          <w:color w:val="auto"/>
          <w:kern w:val="0"/>
          <w:sz w:val="32"/>
          <w:szCs w:val="32"/>
          <w:u w:val="single"/>
        </w:rPr>
        <w:t>18.03</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项目支出减少</w:t>
      </w:r>
      <w:r>
        <w:rPr>
          <w:rFonts w:hint="eastAsia" w:ascii="仿宋_GB2312" w:hAnsi="仿宋_GB2312" w:eastAsia="仿宋_GB2312" w:cs="仿宋_GB2312"/>
          <w:color w:val="auto"/>
          <w:kern w:val="0"/>
          <w:sz w:val="32"/>
          <w:szCs w:val="32"/>
        </w:rPr>
        <w:t>。</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2.使用非财政拨款结余和专用结余</w:t>
      </w:r>
      <w:r>
        <w:rPr>
          <w:rFonts w:hint="eastAsia" w:ascii="仿宋_GB2312" w:hAnsi="仿宋_GB2312" w:eastAsia="仿宋_GB2312" w:cs="仿宋_GB2312"/>
          <w:color w:val="auto"/>
          <w:kern w:val="0"/>
          <w:sz w:val="32"/>
          <w:szCs w:val="32"/>
          <w:u w:val="single"/>
        </w:rPr>
        <w:t xml:space="preserve"> 0.00</w:t>
      </w:r>
      <w:r>
        <w:rPr>
          <w:rFonts w:hint="eastAsia" w:ascii="仿宋_GB2312" w:hAnsi="仿宋_GB2312" w:eastAsia="仿宋_GB2312" w:cs="仿宋_GB2312"/>
          <w:color w:val="auto"/>
          <w:kern w:val="0"/>
          <w:sz w:val="32"/>
          <w:szCs w:val="32"/>
        </w:rPr>
        <w:t>万元。与上年决算相比，增加</w:t>
      </w:r>
      <w:r>
        <w:rPr>
          <w:rFonts w:hint="eastAsia" w:ascii="仿宋_GB2312" w:hAnsi="仿宋_GB2312" w:eastAsia="仿宋_GB2312" w:cs="仿宋_GB2312"/>
          <w:color w:val="auto"/>
          <w:kern w:val="0"/>
          <w:sz w:val="32"/>
          <w:szCs w:val="32"/>
          <w:u w:val="single"/>
        </w:rPr>
        <w:t xml:space="preserve"> 0.00</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lang w:val="en-US" w:eastAsia="zh-CN"/>
        </w:rPr>
        <w:t>0</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olor w:val="auto"/>
          <w:kern w:val="2"/>
          <w:sz w:val="32"/>
          <w:szCs w:val="24"/>
          <w:lang w:val="en-US" w:eastAsia="zh-CN"/>
        </w:rPr>
        <w:t>本部门无此项内容</w:t>
      </w:r>
      <w:r>
        <w:rPr>
          <w:rFonts w:hint="eastAsia" w:ascii="仿宋_GB2312" w:hAnsi="仿宋_GB2312" w:eastAsia="仿宋_GB2312" w:cs="仿宋_GB2312"/>
          <w:color w:val="auto"/>
          <w:kern w:val="0"/>
          <w:sz w:val="32"/>
          <w:szCs w:val="32"/>
        </w:rPr>
        <w:t>。</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    3.年初结转和结余 </w:t>
      </w:r>
      <w:r>
        <w:rPr>
          <w:rFonts w:hint="eastAsia" w:ascii="仿宋_GB2312" w:hAnsi="仿宋_GB2312" w:eastAsia="仿宋_GB2312" w:cs="仿宋_GB2312"/>
          <w:color w:val="auto"/>
          <w:kern w:val="0"/>
          <w:sz w:val="32"/>
          <w:szCs w:val="32"/>
          <w:u w:val="single"/>
        </w:rPr>
        <w:t>20.00</w:t>
      </w:r>
      <w:r>
        <w:rPr>
          <w:rFonts w:hint="eastAsia" w:ascii="仿宋_GB2312" w:hAnsi="仿宋_GB2312" w:eastAsia="仿宋_GB2312" w:cs="仿宋_GB2312"/>
          <w:color w:val="auto"/>
          <w:kern w:val="0"/>
          <w:sz w:val="32"/>
          <w:szCs w:val="32"/>
        </w:rPr>
        <w:t>万元。与上年决算相比，增加</w:t>
      </w:r>
      <w:r>
        <w:rPr>
          <w:rFonts w:hint="eastAsia" w:ascii="仿宋_GB2312" w:hAnsi="仿宋_GB2312" w:eastAsia="仿宋_GB2312" w:cs="仿宋_GB2312"/>
          <w:color w:val="auto"/>
          <w:kern w:val="0"/>
          <w:sz w:val="32"/>
          <w:szCs w:val="32"/>
          <w:u w:val="single"/>
        </w:rPr>
        <w:t xml:space="preserve"> 17.00</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rPr>
        <w:t xml:space="preserve"> 566.67</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2022年年底基本户有自治区科协拨付的科技小院服务乡村振兴项目资金20万元</w:t>
      </w:r>
      <w:r>
        <w:rPr>
          <w:rFonts w:hint="eastAsia" w:ascii="仿宋_GB2312" w:hAnsi="仿宋_GB2312" w:eastAsia="仿宋_GB2312" w:cs="仿宋_GB2312"/>
          <w:color w:val="auto"/>
          <w:kern w:val="0"/>
          <w:sz w:val="32"/>
          <w:szCs w:val="32"/>
        </w:rPr>
        <w:t>。</w:t>
      </w:r>
    </w:p>
    <w:p>
      <w:pPr>
        <w:widowControl/>
        <w:spacing w:before="240" w:after="24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    （二）支出决算总计</w:t>
      </w:r>
      <w:r>
        <w:rPr>
          <w:rFonts w:hint="eastAsia" w:ascii="仿宋_GB2312" w:hAnsi="仿宋_GB2312" w:eastAsia="仿宋_GB2312" w:cs="仿宋_GB2312"/>
          <w:b/>
          <w:bCs/>
          <w:color w:val="auto"/>
          <w:kern w:val="0"/>
          <w:sz w:val="32"/>
          <w:szCs w:val="32"/>
          <w:u w:val="single"/>
        </w:rPr>
        <w:t xml:space="preserve"> 1,397.49</w:t>
      </w:r>
      <w:r>
        <w:rPr>
          <w:rFonts w:hint="eastAsia" w:ascii="仿宋_GB2312" w:hAnsi="仿宋_GB2312" w:eastAsia="仿宋_GB2312" w:cs="仿宋_GB2312"/>
          <w:b/>
          <w:bCs/>
          <w:color w:val="auto"/>
          <w:kern w:val="0"/>
          <w:sz w:val="32"/>
          <w:szCs w:val="32"/>
        </w:rPr>
        <w:t>万元。包括：</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1.本年支出决算合计</w:t>
      </w:r>
      <w:r>
        <w:rPr>
          <w:rFonts w:hint="eastAsia" w:ascii="仿宋_GB2312" w:hAnsi="仿宋_GB2312" w:eastAsia="仿宋_GB2312" w:cs="仿宋_GB2312"/>
          <w:color w:val="auto"/>
          <w:kern w:val="0"/>
          <w:sz w:val="32"/>
          <w:szCs w:val="32"/>
          <w:u w:val="single"/>
        </w:rPr>
        <w:t xml:space="preserve"> 1,374.91</w:t>
      </w:r>
      <w:r>
        <w:rPr>
          <w:rFonts w:hint="eastAsia" w:ascii="仿宋_GB2312" w:hAnsi="仿宋_GB2312" w:eastAsia="仿宋_GB2312" w:cs="仿宋_GB2312"/>
          <w:color w:val="auto"/>
          <w:kern w:val="0"/>
          <w:sz w:val="32"/>
          <w:szCs w:val="32"/>
        </w:rPr>
        <w:t>万元。与上年决算相比，减少</w:t>
      </w:r>
      <w:r>
        <w:rPr>
          <w:rFonts w:hint="eastAsia" w:ascii="仿宋_GB2312" w:hAnsi="仿宋_GB2312" w:eastAsia="仿宋_GB2312" w:cs="仿宋_GB2312"/>
          <w:color w:val="auto"/>
          <w:kern w:val="0"/>
          <w:sz w:val="32"/>
          <w:szCs w:val="32"/>
          <w:u w:val="single"/>
        </w:rPr>
        <w:t>288.65</w:t>
      </w:r>
      <w:r>
        <w:rPr>
          <w:rFonts w:hint="eastAsia" w:ascii="仿宋_GB2312" w:hAnsi="仿宋_GB2312" w:eastAsia="仿宋_GB2312" w:cs="仿宋_GB2312"/>
          <w:color w:val="auto"/>
          <w:kern w:val="0"/>
          <w:sz w:val="32"/>
          <w:szCs w:val="32"/>
        </w:rPr>
        <w:t>万元，减少</w:t>
      </w:r>
      <w:r>
        <w:rPr>
          <w:rFonts w:hint="eastAsia" w:ascii="仿宋_GB2312" w:hAnsi="仿宋_GB2312" w:eastAsia="仿宋_GB2312" w:cs="仿宋_GB2312"/>
          <w:color w:val="auto"/>
          <w:kern w:val="0"/>
          <w:sz w:val="32"/>
          <w:szCs w:val="32"/>
          <w:u w:val="single"/>
        </w:rPr>
        <w:t xml:space="preserve"> 17.35</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项目支出减少</w:t>
      </w:r>
      <w:r>
        <w:rPr>
          <w:rFonts w:hint="eastAsia" w:ascii="仿宋_GB2312" w:hAnsi="仿宋_GB2312" w:eastAsia="仿宋_GB2312" w:cs="仿宋_GB2312"/>
          <w:color w:val="auto"/>
          <w:kern w:val="0"/>
          <w:sz w:val="32"/>
          <w:szCs w:val="32"/>
        </w:rPr>
        <w:t>。</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2.结余分配</w:t>
      </w:r>
      <w:r>
        <w:rPr>
          <w:rFonts w:hint="eastAsia" w:ascii="仿宋_GB2312" w:hAnsi="仿宋_GB2312" w:eastAsia="仿宋_GB2312" w:cs="仿宋_GB2312"/>
          <w:color w:val="auto"/>
          <w:kern w:val="0"/>
          <w:sz w:val="32"/>
          <w:szCs w:val="32"/>
          <w:u w:val="single"/>
        </w:rPr>
        <w:t xml:space="preserve"> 0.00</w:t>
      </w:r>
      <w:r>
        <w:rPr>
          <w:rFonts w:hint="eastAsia" w:ascii="仿宋_GB2312" w:hAnsi="仿宋_GB2312" w:eastAsia="仿宋_GB2312" w:cs="仿宋_GB2312"/>
          <w:color w:val="auto"/>
          <w:kern w:val="0"/>
          <w:sz w:val="32"/>
          <w:szCs w:val="32"/>
        </w:rPr>
        <w:t>万元。结余分配事项：</w:t>
      </w:r>
      <w:r>
        <w:rPr>
          <w:rFonts w:hint="eastAsia" w:ascii="仿宋_GB2312" w:hAnsi="仿宋_GB2312" w:eastAsia="仿宋_GB2312" w:cs="仿宋_GB2312"/>
          <w:color w:val="auto"/>
          <w:kern w:val="0"/>
          <w:sz w:val="32"/>
          <w:szCs w:val="32"/>
          <w:lang w:val="en-US" w:eastAsia="zh-CN"/>
        </w:rPr>
        <w:t>无</w:t>
      </w:r>
      <w:r>
        <w:rPr>
          <w:rFonts w:hint="eastAsia" w:ascii="仿宋_GB2312" w:hAnsi="仿宋_GB2312" w:eastAsia="仿宋_GB2312" w:cs="仿宋_GB2312"/>
          <w:color w:val="auto"/>
          <w:kern w:val="0"/>
          <w:sz w:val="32"/>
          <w:szCs w:val="32"/>
        </w:rPr>
        <w:t>。与上年决算相比，增加</w:t>
      </w:r>
      <w:r>
        <w:rPr>
          <w:rFonts w:hint="eastAsia" w:ascii="仿宋_GB2312" w:hAnsi="仿宋_GB2312" w:eastAsia="仿宋_GB2312" w:cs="仿宋_GB2312"/>
          <w:color w:val="auto"/>
          <w:kern w:val="0"/>
          <w:sz w:val="32"/>
          <w:szCs w:val="32"/>
          <w:u w:val="single"/>
        </w:rPr>
        <w:t xml:space="preserve"> 0.00</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0</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本部门无此项内容</w:t>
      </w:r>
      <w:r>
        <w:rPr>
          <w:rFonts w:hint="eastAsia" w:ascii="仿宋_GB2312" w:hAnsi="仿宋_GB2312" w:eastAsia="仿宋_GB2312" w:cs="仿宋_GB2312"/>
          <w:color w:val="auto"/>
          <w:kern w:val="0"/>
          <w:sz w:val="32"/>
          <w:szCs w:val="32"/>
        </w:rPr>
        <w:t>。</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3.年末结转和结余</w:t>
      </w:r>
      <w:r>
        <w:rPr>
          <w:rFonts w:hint="eastAsia" w:ascii="仿宋_GB2312" w:hAnsi="仿宋_GB2312" w:eastAsia="仿宋_GB2312" w:cs="仿宋_GB2312"/>
          <w:color w:val="auto"/>
          <w:kern w:val="0"/>
          <w:sz w:val="32"/>
          <w:szCs w:val="32"/>
          <w:u w:val="single"/>
        </w:rPr>
        <w:t xml:space="preserve"> 22.58</w:t>
      </w:r>
      <w:r>
        <w:rPr>
          <w:rFonts w:hint="eastAsia" w:ascii="仿宋_GB2312" w:hAnsi="仿宋_GB2312" w:eastAsia="仿宋_GB2312" w:cs="仿宋_GB2312"/>
          <w:color w:val="auto"/>
          <w:kern w:val="0"/>
          <w:sz w:val="32"/>
          <w:szCs w:val="32"/>
        </w:rPr>
        <w:t>万元。结转和结余事项：</w:t>
      </w:r>
      <w:r>
        <w:rPr>
          <w:rFonts w:hint="eastAsia" w:ascii="仿宋_GB2312" w:hAnsi="仿宋_GB2312" w:eastAsia="仿宋_GB2312" w:cs="仿宋_GB2312"/>
          <w:color w:val="auto"/>
          <w:kern w:val="0"/>
          <w:sz w:val="32"/>
          <w:szCs w:val="32"/>
          <w:lang w:val="en-US" w:eastAsia="zh-CN"/>
        </w:rPr>
        <w:t>科协本级结转的</w:t>
      </w:r>
      <w:r>
        <w:rPr>
          <w:rFonts w:hint="eastAsia" w:ascii="仿宋_GB2312" w:hAnsi="仿宋_GB2312" w:eastAsia="仿宋_GB2312"/>
          <w:color w:val="auto"/>
          <w:kern w:val="2"/>
          <w:sz w:val="32"/>
          <w:szCs w:val="24"/>
          <w:lang w:val="en-US" w:eastAsia="zh-CN"/>
        </w:rPr>
        <w:t>2022年自治区科协拨付科技小院服务乡村振兴项目费17.58万元，科技馆结转的青少年工作室建设项目5万元</w:t>
      </w:r>
      <w:r>
        <w:rPr>
          <w:rFonts w:hint="eastAsia" w:ascii="仿宋_GB2312" w:hAnsi="仿宋_GB2312" w:eastAsia="仿宋_GB2312" w:cs="仿宋_GB2312"/>
          <w:color w:val="auto"/>
          <w:kern w:val="0"/>
          <w:sz w:val="32"/>
          <w:szCs w:val="32"/>
        </w:rPr>
        <w:t>。与上年决算相比，增加</w:t>
      </w:r>
      <w:r>
        <w:rPr>
          <w:rFonts w:hint="eastAsia" w:ascii="仿宋_GB2312" w:hAnsi="仿宋_GB2312" w:eastAsia="仿宋_GB2312" w:cs="仿宋_GB2312"/>
          <w:color w:val="auto"/>
          <w:kern w:val="0"/>
          <w:sz w:val="32"/>
          <w:szCs w:val="32"/>
          <w:u w:val="single"/>
        </w:rPr>
        <w:t xml:space="preserve"> 2.58</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rPr>
        <w:t xml:space="preserve"> 12.88</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结转的项目资金增加</w:t>
      </w:r>
      <w:r>
        <w:rPr>
          <w:rFonts w:hint="eastAsia" w:ascii="仿宋_GB2312" w:hAnsi="仿宋_GB2312" w:eastAsia="仿宋_GB2312" w:cs="仿宋_GB2312"/>
          <w:color w:val="auto"/>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xml:space="preserve">  </w:t>
      </w:r>
      <w:r>
        <w:rPr>
          <w:rFonts w:ascii="fang_song_gb2312" w:hAnsi="fang_song_gb2312" w:eastAsia="fang_song_gb2312" w:cs="fang_song_gb2312"/>
          <w:kern w:val="0"/>
          <w:sz w:val="27"/>
          <w:szCs w:val="27"/>
        </w:rPr>
        <w:t>   </w:t>
      </w:r>
      <w:r>
        <w:rPr>
          <w:rFonts w:hint="eastAsia" w:ascii="仿宋_GB2312" w:hAnsi="仿宋_GB2312" w:eastAsia="仿宋_GB2312" w:cs="仿宋_GB2312"/>
          <w:kern w:val="0"/>
          <w:sz w:val="32"/>
          <w:szCs w:val="32"/>
        </w:rPr>
        <w:t xml:space="preserve"> 内蒙古自治区通辽市科学技术协会（部门） 2023年度本年收入决算合计</w:t>
      </w:r>
      <w:r>
        <w:rPr>
          <w:rFonts w:hint="eastAsia" w:ascii="仿宋_GB2312" w:hAnsi="仿宋_GB2312" w:eastAsia="仿宋_GB2312" w:cs="仿宋_GB2312"/>
          <w:kern w:val="0"/>
          <w:sz w:val="32"/>
          <w:szCs w:val="32"/>
          <w:u w:val="single"/>
        </w:rPr>
        <w:t xml:space="preserve"> 1,377.49</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本年一般公共预算财政拨款收入</w:t>
      </w:r>
      <w:r>
        <w:rPr>
          <w:rFonts w:hint="eastAsia" w:ascii="仿宋_GB2312" w:hAnsi="仿宋_GB2312" w:eastAsia="仿宋_GB2312" w:cs="仿宋_GB2312"/>
          <w:kern w:val="0"/>
          <w:sz w:val="32"/>
          <w:szCs w:val="32"/>
          <w:u w:val="single"/>
        </w:rPr>
        <w:t xml:space="preserve"> 1,369.36</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99.41</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本年政府性基金预算财政拨款收入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本年国有资本经营预算财政拨款收入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本年上级补助收入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本年事业收入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本年经营收入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本年附属单位上缴收入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本年其他收入</w:t>
      </w:r>
      <w:r>
        <w:rPr>
          <w:rFonts w:hint="eastAsia" w:ascii="仿宋_GB2312" w:hAnsi="仿宋_GB2312" w:eastAsia="仿宋_GB2312" w:cs="仿宋_GB2312"/>
          <w:kern w:val="0"/>
          <w:sz w:val="32"/>
          <w:szCs w:val="32"/>
          <w:u w:val="single"/>
        </w:rPr>
        <w:t xml:space="preserve"> 8.13</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0.59</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0E00FE"/>
          <w:kern w:val="0"/>
          <w:sz w:val="32"/>
          <w:szCs w:val="32"/>
        </w:rPr>
        <w:t xml:space="preserve">    </w:t>
      </w:r>
      <w:r>
        <w:rPr>
          <w:rFonts w:hint="eastAsia" w:ascii="仿宋_GB2312" w:hAnsi="仿宋_GB2312" w:eastAsia="仿宋_GB2312" w:cs="仿宋_GB2312"/>
          <w:kern w:val="0"/>
          <w:sz w:val="32"/>
          <w:szCs w:val="32"/>
          <w:lang w:eastAsia="zh-CN"/>
        </w:rPr>
        <w:drawing>
          <wp:inline distT="0" distB="0" distL="114300" distR="114300">
            <wp:extent cx="5080000" cy="3810000"/>
            <wp:effectExtent l="4445" t="4445" r="2095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widowControl/>
        <w:spacing w:before="240" w:after="240"/>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图1.收入决算图</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32"/>
          <w:szCs w:val="32"/>
        </w:rPr>
        <w:t xml:space="preserve"> 三、支出决算情况说明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w:t>
      </w: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kern w:val="0"/>
          <w:sz w:val="32"/>
          <w:szCs w:val="32"/>
        </w:rPr>
        <w:t>内蒙古自治区通辽市科学技术协会（部门） 2023年度本年支出决算合计</w:t>
      </w:r>
      <w:r>
        <w:rPr>
          <w:rFonts w:hint="eastAsia" w:ascii="仿宋_GB2312" w:hAnsi="仿宋_GB2312" w:eastAsia="仿宋_GB2312" w:cs="仿宋_GB2312"/>
          <w:kern w:val="0"/>
          <w:sz w:val="32"/>
          <w:szCs w:val="32"/>
          <w:u w:val="single"/>
        </w:rPr>
        <w:t xml:space="preserve"> 1,374.91</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本年基本支出</w:t>
      </w:r>
      <w:r>
        <w:rPr>
          <w:rFonts w:hint="eastAsia" w:ascii="仿宋_GB2312" w:hAnsi="仿宋_GB2312" w:eastAsia="仿宋_GB2312" w:cs="仿宋_GB2312"/>
          <w:kern w:val="0"/>
          <w:sz w:val="32"/>
          <w:szCs w:val="32"/>
          <w:u w:val="single"/>
        </w:rPr>
        <w:t xml:space="preserve"> 630.27</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45.84</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本年项目支出</w:t>
      </w:r>
      <w:r>
        <w:rPr>
          <w:rFonts w:hint="eastAsia" w:ascii="仿宋_GB2312" w:hAnsi="仿宋_GB2312" w:eastAsia="仿宋_GB2312" w:cs="仿宋_GB2312"/>
          <w:kern w:val="0"/>
          <w:sz w:val="32"/>
          <w:szCs w:val="32"/>
          <w:u w:val="single"/>
        </w:rPr>
        <w:t xml:space="preserve"> 744.64</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54.16</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本年上缴上级支出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本年经营支出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本年对附属单位补助支出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0E00FE"/>
          <w:kern w:val="0"/>
          <w:sz w:val="32"/>
          <w:szCs w:val="32"/>
        </w:rPr>
        <w:t xml:space="preserve">    </w:t>
      </w:r>
      <w:r>
        <w:rPr>
          <w:rFonts w:hint="eastAsia" w:ascii="仿宋_GB2312" w:hAnsi="仿宋_GB2312" w:eastAsia="仿宋_GB2312" w:cs="仿宋_GB2312"/>
          <w:kern w:val="0"/>
          <w:sz w:val="32"/>
          <w:szCs w:val="32"/>
          <w:lang w:eastAsia="zh-CN"/>
        </w:rPr>
        <w:drawing>
          <wp:inline distT="0" distB="0" distL="114300" distR="114300">
            <wp:extent cx="5080000" cy="3810000"/>
            <wp:effectExtent l="4445" t="4445" r="2095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widowControl/>
        <w:spacing w:before="240" w:after="240"/>
        <w:jc w:val="left"/>
        <w:rPr>
          <w:rFonts w:hint="eastAsia" w:ascii="仿宋_GB2312" w:hAnsi="仿宋_GB2312" w:eastAsia="仿宋_GB2312" w:cs="仿宋_GB2312"/>
          <w:kern w:val="0"/>
          <w:sz w:val="32"/>
          <w:szCs w:val="32"/>
        </w:rPr>
      </w:pPr>
    </w:p>
    <w:p>
      <w:pPr>
        <w:widowControl/>
        <w:spacing w:before="240" w:after="240"/>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图2.支出决算图</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hint="eastAsia" w:ascii="仿宋_GB2312" w:hAnsi="仿宋_GB2312" w:eastAsia="仿宋_GB2312" w:cs="仿宋_GB2312"/>
          <w:kern w:val="0"/>
          <w:sz w:val="32"/>
          <w:szCs w:val="32"/>
        </w:rPr>
      </w:pPr>
      <w:r>
        <w:rPr>
          <w:rFonts w:ascii="Calibri" w:hAnsi="Calibri" w:eastAsia="Calibri" w:cs="Calibri"/>
          <w:b/>
          <w:bCs/>
          <w:kern w:val="0"/>
          <w:sz w:val="27"/>
          <w:szCs w:val="27"/>
        </w:rPr>
        <w:t> </w:t>
      </w:r>
      <w:r>
        <w:rPr>
          <w:rFonts w:hint="eastAsia" w:ascii="Calibri" w:hAnsi="Calibri" w:eastAsia="宋体" w:cs="Calibri"/>
          <w:b/>
          <w:bCs/>
          <w:kern w:val="0"/>
          <w:sz w:val="27"/>
          <w:szCs w:val="27"/>
          <w:lang w:val="en-US" w:eastAsia="zh-CN"/>
        </w:rPr>
        <w:t xml:space="preserve">    </w:t>
      </w:r>
      <w:r>
        <w:rPr>
          <w:rFonts w:ascii="黑体" w:hAnsi="黑体" w:eastAsia="黑体" w:cs="黑体"/>
          <w:b/>
          <w:bCs/>
          <w:kern w:val="0"/>
          <w:sz w:val="32"/>
          <w:szCs w:val="32"/>
        </w:rPr>
        <w:t>四、财政拨款收入支出决算总体情况说明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内蒙古自治区通辽市科学技术协会（部门） 2023年度财政拨款收入、支出决算总计</w:t>
      </w:r>
      <w:r>
        <w:rPr>
          <w:rFonts w:hint="eastAsia" w:ascii="仿宋_GB2312" w:hAnsi="仿宋_GB2312" w:eastAsia="仿宋_GB2312" w:cs="仿宋_GB2312"/>
          <w:kern w:val="0"/>
          <w:sz w:val="32"/>
          <w:szCs w:val="32"/>
          <w:u w:val="single"/>
        </w:rPr>
        <w:t xml:space="preserve"> 1,369.36</w:t>
      </w:r>
      <w:r>
        <w:rPr>
          <w:rFonts w:hint="eastAsia" w:ascii="仿宋_GB2312" w:hAnsi="仿宋_GB2312" w:eastAsia="仿宋_GB2312" w:cs="仿宋_GB2312"/>
          <w:kern w:val="0"/>
          <w:sz w:val="32"/>
          <w:szCs w:val="32"/>
        </w:rPr>
        <w:t>万元，与年初预算相比，收、支总计各增加</w:t>
      </w:r>
      <w:r>
        <w:rPr>
          <w:rFonts w:hint="eastAsia" w:ascii="仿宋_GB2312" w:hAnsi="仿宋_GB2312" w:eastAsia="仿宋_GB2312" w:cs="仿宋_GB2312"/>
          <w:kern w:val="0"/>
          <w:sz w:val="32"/>
          <w:szCs w:val="32"/>
          <w:u w:val="single"/>
        </w:rPr>
        <w:t xml:space="preserve"> 557.81</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68.73</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color w:val="auto"/>
          <w:kern w:val="0"/>
          <w:sz w:val="32"/>
          <w:szCs w:val="32"/>
          <w:lang w:val="en-US" w:eastAsia="zh-CN"/>
        </w:rPr>
        <w:t>决算数较预算数增加科协本级和科技馆上级科普项目资金</w:t>
      </w:r>
      <w:r>
        <w:rPr>
          <w:rFonts w:hint="eastAsia" w:ascii="仿宋_GB2312" w:hAnsi="仿宋_GB2312" w:eastAsia="仿宋_GB2312" w:cs="仿宋_GB2312"/>
          <w:kern w:val="0"/>
          <w:sz w:val="32"/>
          <w:szCs w:val="32"/>
        </w:rPr>
        <w:t>；与上年决算相比，收、支总计各减少</w:t>
      </w:r>
      <w:r>
        <w:rPr>
          <w:rFonts w:hint="eastAsia" w:ascii="仿宋_GB2312" w:hAnsi="仿宋_GB2312" w:eastAsia="仿宋_GB2312" w:cs="仿宋_GB2312"/>
          <w:kern w:val="0"/>
          <w:sz w:val="32"/>
          <w:szCs w:val="32"/>
          <w:u w:val="single"/>
        </w:rPr>
        <w:t xml:space="preserve"> 291.20</w:t>
      </w:r>
      <w:r>
        <w:rPr>
          <w:rFonts w:hint="eastAsia" w:ascii="仿宋_GB2312" w:hAnsi="仿宋_GB2312" w:eastAsia="仿宋_GB2312" w:cs="仿宋_GB2312"/>
          <w:kern w:val="0"/>
          <w:sz w:val="32"/>
          <w:szCs w:val="32"/>
        </w:rPr>
        <w:t>万元，减少</w:t>
      </w:r>
      <w:r>
        <w:rPr>
          <w:rFonts w:hint="eastAsia" w:ascii="仿宋_GB2312" w:hAnsi="仿宋_GB2312" w:eastAsia="仿宋_GB2312" w:cs="仿宋_GB2312"/>
          <w:kern w:val="0"/>
          <w:sz w:val="32"/>
          <w:szCs w:val="32"/>
          <w:u w:val="single"/>
        </w:rPr>
        <w:t xml:space="preserve"> 17.54</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项目支出减少</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hint="eastAsia" w:ascii="黑体" w:hAnsi="黑体" w:eastAsia="黑体" w:cs="黑体"/>
          <w:b/>
          <w:bCs/>
          <w:kern w:val="0"/>
          <w:sz w:val="32"/>
          <w:szCs w:val="32"/>
          <w:lang w:val="en-US" w:eastAsia="zh-CN"/>
        </w:rPr>
        <w:t xml:space="preserve"> </w:t>
      </w:r>
      <w:r>
        <w:rPr>
          <w:rFonts w:ascii="黑体" w:hAnsi="黑体" w:eastAsia="黑体" w:cs="黑体"/>
          <w:b/>
          <w:bCs/>
          <w:kern w:val="0"/>
          <w:sz w:val="32"/>
          <w:szCs w:val="32"/>
        </w:rPr>
        <w:t>五、一般公共预算财政拨款支出决算情况说明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内蒙古自治区通辽市科学技术协会（部门） 2023年度一般公共预算财政拨款支出决算</w:t>
      </w:r>
      <w:r>
        <w:rPr>
          <w:rFonts w:hint="eastAsia" w:ascii="仿宋_GB2312" w:hAnsi="仿宋_GB2312" w:eastAsia="仿宋_GB2312" w:cs="仿宋_GB2312"/>
          <w:kern w:val="0"/>
          <w:sz w:val="32"/>
          <w:szCs w:val="32"/>
          <w:u w:val="single"/>
        </w:rPr>
        <w:t xml:space="preserve"> 1,369.36</w:t>
      </w:r>
      <w:r>
        <w:rPr>
          <w:rFonts w:hint="eastAsia" w:ascii="仿宋_GB2312" w:hAnsi="仿宋_GB2312" w:eastAsia="仿宋_GB2312" w:cs="仿宋_GB2312"/>
          <w:kern w:val="0"/>
          <w:sz w:val="32"/>
          <w:szCs w:val="32"/>
        </w:rPr>
        <w:t>万元。与年初预算</w:t>
      </w:r>
      <w:r>
        <w:rPr>
          <w:rFonts w:hint="eastAsia" w:ascii="仿宋_GB2312" w:hAnsi="仿宋_GB2312" w:eastAsia="仿宋_GB2312" w:cs="仿宋_GB2312"/>
          <w:kern w:val="0"/>
          <w:sz w:val="32"/>
          <w:szCs w:val="32"/>
          <w:u w:val="single"/>
        </w:rPr>
        <w:t xml:space="preserve"> 811.55</w:t>
      </w:r>
      <w:r>
        <w:rPr>
          <w:rFonts w:hint="eastAsia" w:ascii="仿宋_GB2312" w:hAnsi="仿宋_GB2312" w:eastAsia="仿宋_GB2312" w:cs="仿宋_GB2312"/>
          <w:kern w:val="0"/>
          <w:sz w:val="32"/>
          <w:szCs w:val="32"/>
        </w:rPr>
        <w:t>万元相比，完成年初预算的</w:t>
      </w:r>
      <w:r>
        <w:rPr>
          <w:rFonts w:hint="eastAsia" w:ascii="仿宋_GB2312" w:hAnsi="仿宋_GB2312" w:eastAsia="仿宋_GB2312" w:cs="仿宋_GB2312"/>
          <w:kern w:val="0"/>
          <w:sz w:val="32"/>
          <w:szCs w:val="32"/>
          <w:u w:val="single"/>
        </w:rPr>
        <w:t xml:space="preserve"> 168.73</w:t>
      </w:r>
      <w:r>
        <w:rPr>
          <w:rFonts w:hint="eastAsia" w:ascii="仿宋_GB2312" w:hAnsi="仿宋_GB2312" w:eastAsia="仿宋_GB2312" w:cs="仿宋_GB2312"/>
          <w:kern w:val="0"/>
          <w:sz w:val="32"/>
          <w:szCs w:val="32"/>
        </w:rPr>
        <w:t>%。其中：</w:t>
      </w:r>
    </w:p>
    <w:p>
      <w:pPr>
        <w:widowControl/>
        <w:spacing w:before="240" w:after="240"/>
        <w:jc w:val="left"/>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b/>
          <w:bCs/>
          <w:kern w:val="0"/>
          <w:sz w:val="32"/>
          <w:szCs w:val="32"/>
        </w:rPr>
        <w:t>    （一）</w:t>
      </w:r>
      <w:r>
        <w:rPr>
          <w:rFonts w:hint="eastAsia" w:ascii="仿宋_GB2312" w:hAnsi="仿宋_GB2312" w:eastAsia="仿宋_GB2312" w:cs="仿宋_GB2312"/>
          <w:b/>
          <w:bCs/>
          <w:kern w:val="0"/>
          <w:sz w:val="32"/>
          <w:szCs w:val="32"/>
          <w:lang w:val="en-US" w:eastAsia="zh-CN"/>
        </w:rPr>
        <w:t>科学技术支出（类）</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科学技术支出类</w:t>
      </w:r>
      <w:r>
        <w:rPr>
          <w:rFonts w:hint="eastAsia" w:ascii="仿宋_GB2312" w:hAnsi="仿宋_GB2312" w:eastAsia="仿宋_GB2312" w:cs="仿宋_GB2312"/>
          <w:kern w:val="0"/>
          <w:sz w:val="32"/>
          <w:szCs w:val="32"/>
        </w:rPr>
        <w:t>决算数为</w:t>
      </w:r>
      <w:r>
        <w:rPr>
          <w:rFonts w:hint="eastAsia" w:ascii="仿宋_GB2312" w:hAnsi="仿宋_GB2312" w:eastAsia="仿宋_GB2312" w:cs="仿宋_GB2312"/>
          <w:kern w:val="0"/>
          <w:sz w:val="32"/>
          <w:szCs w:val="32"/>
          <w:u w:val="single"/>
          <w:lang w:val="en-US" w:eastAsia="zh-CN"/>
        </w:rPr>
        <w:t>1194.25</w:t>
      </w:r>
      <w:r>
        <w:rPr>
          <w:rFonts w:hint="eastAsia" w:ascii="仿宋_GB2312" w:hAnsi="仿宋_GB2312" w:eastAsia="仿宋_GB2312" w:cs="仿宋_GB2312"/>
          <w:kern w:val="0"/>
          <w:sz w:val="32"/>
          <w:szCs w:val="32"/>
        </w:rPr>
        <w:t>万元，与年初预算相比增加</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579.44</w:t>
      </w:r>
      <w:r>
        <w:rPr>
          <w:rFonts w:hint="eastAsia" w:ascii="仿宋_GB2312" w:hAnsi="仿宋_GB2312" w:eastAsia="仿宋_GB2312" w:cs="仿宋_GB2312"/>
          <w:kern w:val="0"/>
          <w:sz w:val="32"/>
          <w:szCs w:val="32"/>
        </w:rPr>
        <w:t>万元。其中：</w:t>
      </w:r>
    </w:p>
    <w:p>
      <w:pPr>
        <w:widowControl/>
        <w:numPr>
          <w:ilvl w:val="0"/>
          <w:numId w:val="0"/>
        </w:numPr>
        <w:spacing w:before="240" w:after="240"/>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1.科学技术管理事务（款）行政运行（项）。年初预算111.18万元，支出决算117.18万元，完成年初预算的105.4%。决算数与年初预算数的差异原因：人员变动、基数调整导致基本支出增加。</w:t>
      </w:r>
    </w:p>
    <w:p>
      <w:pPr>
        <w:pStyle w:val="2"/>
        <w:numPr>
          <w:ilvl w:val="0"/>
          <w:numId w:val="0"/>
        </w:numPr>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bidi="ar-SA"/>
        </w:rPr>
        <w:t>2.科学技术管</w:t>
      </w:r>
      <w:r>
        <w:rPr>
          <w:rFonts w:hint="eastAsia" w:ascii="仿宋_GB2312" w:hAnsi="仿宋_GB2312" w:eastAsia="仿宋_GB2312" w:cs="仿宋_GB2312"/>
          <w:kern w:val="0"/>
          <w:sz w:val="32"/>
          <w:szCs w:val="32"/>
          <w:lang w:val="en-US" w:eastAsia="zh-CN"/>
        </w:rPr>
        <w:t>理事务（款）其他科学技术管理事务支出（项）。年初预算22.8万元，支出决算22.8万元，完成年初预算的100%。决算数与年初预算数无差异。</w:t>
      </w:r>
    </w:p>
    <w:p>
      <w:pPr>
        <w:pStyle w:val="2"/>
        <w:numPr>
          <w:ilvl w:val="0"/>
          <w:numId w:val="0"/>
        </w:numPr>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3.科学技术普及（类）科普活动（项）。年初预算150.00万元，支出决算428.76万元，完成年初预算的285.84%。决算数与年初预算数的差异原因：决算数中包含上级科普项目资金支出。</w:t>
      </w:r>
    </w:p>
    <w:p>
      <w:pPr>
        <w:pStyle w:val="2"/>
        <w:ind w:left="0" w:leftChars="0" w:firstLine="0" w:firstLineChars="0"/>
        <w:rPr>
          <w:rFonts w:hint="eastAsia" w:ascii="仿宋_GB2312" w:hAnsi="仿宋_GB2312" w:eastAsia="仿宋_GB2312" w:cs="仿宋_GB2312"/>
          <w:kern w:val="0"/>
          <w:sz w:val="32"/>
          <w:szCs w:val="32"/>
        </w:rPr>
      </w:pPr>
      <w:r>
        <w:rPr>
          <w:rFonts w:hint="eastAsia"/>
          <w:lang w:val="en-US" w:eastAsia="zh-CN"/>
        </w:rPr>
        <w:t xml:space="preserve">  </w:t>
      </w:r>
      <w:r>
        <w:rPr>
          <w:rFonts w:hint="eastAsia" w:ascii="仿宋_GB2312" w:hAnsi="仿宋_GB2312" w:eastAsia="仿宋_GB2312" w:cs="仿宋_GB2312"/>
          <w:kern w:val="0"/>
          <w:sz w:val="32"/>
          <w:szCs w:val="32"/>
          <w:lang w:val="en-US" w:eastAsia="zh-CN"/>
        </w:rPr>
        <w:t xml:space="preserve">   4.科学技术普及（类）科技馆站（项）。年初预算370.83万元，支出预算625.5万元，完成年初预算的168.68%。决算数与年初预算数的差异原因：决算中包含上级科普项目资金支出。</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二</w:t>
      </w:r>
      <w:r>
        <w:rPr>
          <w:rFonts w:hint="eastAsia" w:ascii="仿宋_GB2312" w:hAnsi="仿宋_GB2312" w:eastAsia="仿宋_GB2312" w:cs="仿宋_GB2312"/>
          <w:b/>
          <w:bCs/>
          <w:kern w:val="0"/>
          <w:sz w:val="32"/>
          <w:szCs w:val="32"/>
        </w:rPr>
        <w:t>）社会保障和就业支出（类）</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社会保障和就业支出类决算数为</w:t>
      </w:r>
      <w:r>
        <w:rPr>
          <w:rFonts w:hint="eastAsia" w:ascii="仿宋_GB2312" w:hAnsi="仿宋_GB2312" w:eastAsia="仿宋_GB2312" w:cs="仿宋_GB2312"/>
          <w:kern w:val="0"/>
          <w:sz w:val="32"/>
          <w:szCs w:val="32"/>
          <w:u w:val="single"/>
        </w:rPr>
        <w:t xml:space="preserve"> 95.03</w:t>
      </w:r>
      <w:r>
        <w:rPr>
          <w:rFonts w:hint="eastAsia" w:ascii="仿宋_GB2312" w:hAnsi="仿宋_GB2312" w:eastAsia="仿宋_GB2312" w:cs="仿宋_GB2312"/>
          <w:kern w:val="0"/>
          <w:sz w:val="32"/>
          <w:szCs w:val="32"/>
        </w:rPr>
        <w:t>万元，与年初预算相比减少</w:t>
      </w:r>
      <w:r>
        <w:rPr>
          <w:rFonts w:hint="eastAsia" w:ascii="仿宋_GB2312" w:hAnsi="仿宋_GB2312" w:eastAsia="仿宋_GB2312" w:cs="仿宋_GB2312"/>
          <w:kern w:val="0"/>
          <w:sz w:val="32"/>
          <w:szCs w:val="32"/>
          <w:u w:val="single"/>
        </w:rPr>
        <w:t>11.99</w:t>
      </w:r>
      <w:r>
        <w:rPr>
          <w:rFonts w:hint="eastAsia" w:ascii="仿宋_GB2312" w:hAnsi="仿宋_GB2312" w:eastAsia="仿宋_GB2312" w:cs="仿宋_GB2312"/>
          <w:kern w:val="0"/>
          <w:sz w:val="32"/>
          <w:szCs w:val="32"/>
        </w:rPr>
        <w:t>万元。其中：</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1．行政事业单位养老支出（款）行政单位离退休（项）。年初预算</w:t>
      </w:r>
      <w:r>
        <w:rPr>
          <w:rFonts w:hint="eastAsia" w:ascii="仿宋_GB2312" w:hAnsi="仿宋_GB2312" w:eastAsia="仿宋_GB2312" w:cs="仿宋_GB2312"/>
          <w:kern w:val="0"/>
          <w:sz w:val="32"/>
          <w:szCs w:val="32"/>
          <w:lang w:val="en-US" w:eastAsia="zh-CN"/>
        </w:rPr>
        <w:t>9.63</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lang w:val="en-US" w:eastAsia="zh-CN"/>
        </w:rPr>
        <w:t>9.63</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%。决算数与年初预算数</w:t>
      </w:r>
      <w:r>
        <w:rPr>
          <w:rFonts w:hint="eastAsia" w:ascii="仿宋_GB2312" w:hAnsi="仿宋_GB2312" w:eastAsia="仿宋_GB2312" w:cs="仿宋_GB2312"/>
          <w:kern w:val="0"/>
          <w:sz w:val="32"/>
          <w:szCs w:val="32"/>
          <w:lang w:val="en-US" w:eastAsia="zh-CN"/>
        </w:rPr>
        <w:t>无差异</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2．行政事业单位养老支出（款）事业单位离退休（项）。年初预算</w:t>
      </w:r>
      <w:r>
        <w:rPr>
          <w:rFonts w:hint="eastAsia" w:ascii="仿宋_GB2312" w:hAnsi="仿宋_GB2312" w:eastAsia="仿宋_GB2312" w:cs="仿宋_GB2312"/>
          <w:kern w:val="0"/>
          <w:sz w:val="32"/>
          <w:szCs w:val="32"/>
          <w:u w:val="single"/>
          <w:lang w:val="en-US" w:eastAsia="zh-CN"/>
        </w:rPr>
        <w:t>13.82</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13.65</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98.77</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预算时预计退休1人，实际是在本年2月份退休</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3．行政事业单位养老支出（款）机关事业单位基本养老保险缴费支出（项）。年初预算</w:t>
      </w:r>
      <w:r>
        <w:rPr>
          <w:rFonts w:hint="eastAsia" w:ascii="仿宋_GB2312" w:hAnsi="仿宋_GB2312" w:eastAsia="仿宋_GB2312" w:cs="仿宋_GB2312"/>
          <w:kern w:val="0"/>
          <w:sz w:val="32"/>
          <w:szCs w:val="32"/>
          <w:u w:val="single"/>
          <w:lang w:val="en-US" w:eastAsia="zh-CN"/>
        </w:rPr>
        <w:t>68.14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62.68</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91.99</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4．行政事业单位养老支出（款）机关事业单位职业年金缴费支出（项）。年初预算</w:t>
      </w:r>
      <w:r>
        <w:rPr>
          <w:rFonts w:hint="eastAsia" w:ascii="仿宋_GB2312" w:hAnsi="仿宋_GB2312" w:eastAsia="仿宋_GB2312" w:cs="仿宋_GB2312"/>
          <w:kern w:val="0"/>
          <w:sz w:val="32"/>
          <w:szCs w:val="32"/>
          <w:u w:val="single"/>
          <w:lang w:val="en-US" w:eastAsia="zh-CN"/>
        </w:rPr>
        <w:t>6.5</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0.99</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15.23</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本年退休人员的职业年金在2022年机构改革时到本单位以前就已经结算了职业年金，本年退休时只交了一年多职业年金，因此，职业年金缴费金额减少</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before="240" w:after="24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32"/>
          <w:szCs w:val="32"/>
          <w:lang w:val="en-US" w:eastAsia="zh-CN"/>
        </w:rPr>
        <w:t xml:space="preserve">   5.残疾人事业（款）其他残疾人事业支出（项）。年初预算5.81万元，支出决算5.41万元，完成年初预算的93.12%。决算数与年初预算数的差异原因：本年交的是上年度的残疾人就业保障金。</w:t>
      </w:r>
    </w:p>
    <w:p>
      <w:pPr>
        <w:keepNext w:val="0"/>
        <w:keepLines w:val="0"/>
        <w:pageBreakBefore w:val="0"/>
        <w:widowControl w:val="0"/>
        <w:kinsoku/>
        <w:wordWrap/>
        <w:overflowPunct/>
        <w:topLinePunct w:val="0"/>
        <w:autoSpaceDE/>
        <w:autoSpaceDN/>
        <w:bidi w:val="0"/>
        <w:adjustRightInd/>
        <w:snapToGrid/>
        <w:spacing w:before="240" w:after="240"/>
        <w:jc w:val="left"/>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6.其他社会保障和就业支出（款）其他社会保障和就业支出（项）。年初预算3.13万元，支出决算2.68万元，完成年初预算的85.62%。决算数与年初预算数的差异原因：人员变动。    </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三</w:t>
      </w:r>
      <w:r>
        <w:rPr>
          <w:rFonts w:hint="eastAsia" w:ascii="仿宋_GB2312" w:hAnsi="仿宋_GB2312" w:eastAsia="仿宋_GB2312" w:cs="仿宋_GB2312"/>
          <w:b/>
          <w:bCs/>
          <w:kern w:val="0"/>
          <w:sz w:val="32"/>
          <w:szCs w:val="32"/>
        </w:rPr>
        <w:t>）卫生健康支出（类）</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卫生健康支出类决算数为</w:t>
      </w:r>
      <w:r>
        <w:rPr>
          <w:rFonts w:hint="eastAsia" w:ascii="仿宋_GB2312" w:hAnsi="仿宋_GB2312" w:eastAsia="仿宋_GB2312" w:cs="仿宋_GB2312"/>
          <w:kern w:val="0"/>
          <w:sz w:val="32"/>
          <w:szCs w:val="32"/>
          <w:u w:val="single"/>
        </w:rPr>
        <w:t xml:space="preserve"> 32.24</w:t>
      </w:r>
      <w:r>
        <w:rPr>
          <w:rFonts w:hint="eastAsia" w:ascii="仿宋_GB2312" w:hAnsi="仿宋_GB2312" w:eastAsia="仿宋_GB2312" w:cs="仿宋_GB2312"/>
          <w:kern w:val="0"/>
          <w:sz w:val="32"/>
          <w:szCs w:val="32"/>
        </w:rPr>
        <w:t>万元，与年初预算相比减少</w:t>
      </w:r>
      <w:r>
        <w:rPr>
          <w:rFonts w:hint="eastAsia" w:ascii="仿宋_GB2312" w:hAnsi="仿宋_GB2312" w:eastAsia="仿宋_GB2312" w:cs="仿宋_GB2312"/>
          <w:kern w:val="0"/>
          <w:sz w:val="32"/>
          <w:szCs w:val="32"/>
          <w:u w:val="single"/>
        </w:rPr>
        <w:t xml:space="preserve"> 6.37</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1．行政事业单位医疗（款）行政单位医疗（项）。年初预算</w:t>
      </w:r>
      <w:r>
        <w:rPr>
          <w:rFonts w:hint="eastAsia" w:ascii="仿宋_GB2312" w:hAnsi="仿宋_GB2312" w:eastAsia="仿宋_GB2312" w:cs="仿宋_GB2312"/>
          <w:kern w:val="0"/>
          <w:sz w:val="32"/>
          <w:szCs w:val="32"/>
          <w:u w:val="single"/>
          <w:lang w:val="en-US" w:eastAsia="zh-CN"/>
        </w:rPr>
        <w:t>8.08</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6.58</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81.44</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2．行政事业单位医疗（款）事业单位医疗（项）。年初预算</w:t>
      </w:r>
      <w:r>
        <w:rPr>
          <w:rFonts w:hint="eastAsia" w:ascii="仿宋_GB2312" w:hAnsi="仿宋_GB2312" w:eastAsia="仿宋_GB2312" w:cs="仿宋_GB2312"/>
          <w:kern w:val="0"/>
          <w:sz w:val="32"/>
          <w:szCs w:val="32"/>
          <w:u w:val="single"/>
          <w:lang w:val="en-US" w:eastAsia="zh-CN"/>
        </w:rPr>
        <w:t>26.28</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21.16</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80.52</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3．行政事业单位医疗（款）公务员医疗补助（项）。年初预算</w:t>
      </w:r>
      <w:r>
        <w:rPr>
          <w:rFonts w:hint="eastAsia" w:ascii="仿宋_GB2312" w:hAnsi="仿宋_GB2312" w:eastAsia="仿宋_GB2312" w:cs="仿宋_GB2312"/>
          <w:kern w:val="0"/>
          <w:sz w:val="32"/>
          <w:szCs w:val="32"/>
          <w:u w:val="single"/>
          <w:lang w:val="en-US" w:eastAsia="zh-CN"/>
        </w:rPr>
        <w:t>4.26</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4.49</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105.4</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四</w:t>
      </w:r>
      <w:r>
        <w:rPr>
          <w:rFonts w:hint="eastAsia" w:ascii="仿宋_GB2312" w:hAnsi="仿宋_GB2312" w:eastAsia="仿宋_GB2312" w:cs="仿宋_GB2312"/>
          <w:b/>
          <w:bCs/>
          <w:kern w:val="0"/>
          <w:sz w:val="32"/>
          <w:szCs w:val="32"/>
        </w:rPr>
        <w:t>）住房保障支出（类）</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住房保障支出类决算数为</w:t>
      </w:r>
      <w:r>
        <w:rPr>
          <w:rFonts w:hint="eastAsia" w:ascii="仿宋_GB2312" w:hAnsi="仿宋_GB2312" w:eastAsia="仿宋_GB2312" w:cs="仿宋_GB2312"/>
          <w:kern w:val="0"/>
          <w:sz w:val="32"/>
          <w:szCs w:val="32"/>
          <w:u w:val="single"/>
        </w:rPr>
        <w:t xml:space="preserve"> 47.84</w:t>
      </w:r>
      <w:r>
        <w:rPr>
          <w:rFonts w:hint="eastAsia" w:ascii="仿宋_GB2312" w:hAnsi="仿宋_GB2312" w:eastAsia="仿宋_GB2312" w:cs="仿宋_GB2312"/>
          <w:kern w:val="0"/>
          <w:sz w:val="32"/>
          <w:szCs w:val="32"/>
        </w:rPr>
        <w:t>万元，与年初预算相比减少</w:t>
      </w:r>
      <w:r>
        <w:rPr>
          <w:rFonts w:hint="eastAsia" w:ascii="仿宋_GB2312" w:hAnsi="仿宋_GB2312" w:eastAsia="仿宋_GB2312" w:cs="仿宋_GB2312"/>
          <w:kern w:val="0"/>
          <w:sz w:val="32"/>
          <w:szCs w:val="32"/>
          <w:u w:val="single"/>
        </w:rPr>
        <w:t xml:space="preserve"> 3.26</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1．住房改革支出（款）住房公积金（项）。年初预算</w:t>
      </w:r>
      <w:r>
        <w:rPr>
          <w:rFonts w:hint="eastAsia" w:ascii="仿宋_GB2312" w:hAnsi="仿宋_GB2312" w:eastAsia="仿宋_GB2312" w:cs="仿宋_GB2312"/>
          <w:kern w:val="0"/>
          <w:sz w:val="32"/>
          <w:szCs w:val="32"/>
          <w:u w:val="single"/>
          <w:lang w:val="en-US" w:eastAsia="zh-CN"/>
        </w:rPr>
        <w:t>51.11</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47.84</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93.6</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32"/>
          <w:szCs w:val="32"/>
        </w:rPr>
        <w:t xml:space="preserve"> 六、一般公共预算财政拨款基本支出决算情况说明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kern w:val="0"/>
          <w:sz w:val="27"/>
          <w:szCs w:val="27"/>
        </w:rPr>
        <w:t> </w:t>
      </w:r>
      <w:r>
        <w:rPr>
          <w:rFonts w:hint="eastAsia" w:ascii="仿宋_GB2312" w:hAnsi="仿宋_GB2312" w:eastAsia="仿宋_GB2312" w:cs="仿宋_GB2312"/>
          <w:kern w:val="0"/>
          <w:sz w:val="32"/>
          <w:szCs w:val="32"/>
        </w:rPr>
        <w:t xml:space="preserve">   内蒙古自治区通辽市科学技术协会（部门） 2023年度一般公共预算财政拨款基本支出决算</w:t>
      </w:r>
      <w:r>
        <w:rPr>
          <w:rFonts w:hint="eastAsia" w:ascii="仿宋_GB2312" w:hAnsi="仿宋_GB2312" w:eastAsia="仿宋_GB2312" w:cs="仿宋_GB2312"/>
          <w:kern w:val="0"/>
          <w:sz w:val="32"/>
          <w:szCs w:val="32"/>
          <w:u w:val="single"/>
        </w:rPr>
        <w:t xml:space="preserve"> 630.27</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（一）人员经费</w:t>
      </w:r>
      <w:r>
        <w:rPr>
          <w:rFonts w:hint="eastAsia" w:ascii="仿宋_GB2312" w:hAnsi="仿宋_GB2312" w:eastAsia="仿宋_GB2312" w:cs="仿宋_GB2312"/>
          <w:kern w:val="0"/>
          <w:sz w:val="32"/>
          <w:szCs w:val="32"/>
          <w:u w:val="single"/>
        </w:rPr>
        <w:t xml:space="preserve"> 598.74</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。主要包括：基本工资</w:t>
      </w:r>
      <w:r>
        <w:rPr>
          <w:rFonts w:hint="eastAsia" w:ascii="仿宋_GB2312" w:hAnsi="仿宋_GB2312" w:eastAsia="仿宋_GB2312" w:cs="仿宋_GB2312"/>
          <w:kern w:val="0"/>
          <w:sz w:val="32"/>
          <w:szCs w:val="32"/>
          <w:lang w:val="en-US" w:eastAsia="zh-CN"/>
        </w:rPr>
        <w:t>192.02万元</w:t>
      </w:r>
      <w:r>
        <w:rPr>
          <w:rFonts w:hint="eastAsia" w:ascii="仿宋_GB2312" w:hAnsi="仿宋_GB2312" w:eastAsia="仿宋_GB2312" w:cs="仿宋_GB2312"/>
          <w:kern w:val="0"/>
          <w:sz w:val="32"/>
          <w:szCs w:val="32"/>
        </w:rPr>
        <w:t>、津贴补贴</w:t>
      </w:r>
      <w:r>
        <w:rPr>
          <w:rFonts w:hint="eastAsia" w:ascii="仿宋_GB2312" w:hAnsi="仿宋_GB2312" w:eastAsia="仿宋_GB2312" w:cs="仿宋_GB2312"/>
          <w:kern w:val="0"/>
          <w:sz w:val="32"/>
          <w:szCs w:val="32"/>
          <w:lang w:val="en-US" w:eastAsia="zh-CN"/>
        </w:rPr>
        <w:t>61.96万元</w:t>
      </w:r>
      <w:r>
        <w:rPr>
          <w:rFonts w:hint="eastAsia" w:ascii="仿宋_GB2312" w:hAnsi="仿宋_GB2312" w:eastAsia="仿宋_GB2312" w:cs="仿宋_GB2312"/>
          <w:kern w:val="0"/>
          <w:sz w:val="32"/>
          <w:szCs w:val="32"/>
        </w:rPr>
        <w:t>、奖金</w:t>
      </w:r>
      <w:r>
        <w:rPr>
          <w:rFonts w:hint="eastAsia" w:ascii="仿宋_GB2312" w:hAnsi="仿宋_GB2312" w:eastAsia="仿宋_GB2312" w:cs="仿宋_GB2312"/>
          <w:kern w:val="0"/>
          <w:sz w:val="32"/>
          <w:szCs w:val="32"/>
          <w:lang w:val="en-US" w:eastAsia="zh-CN"/>
        </w:rPr>
        <w:t>48.01万元</w:t>
      </w:r>
      <w:r>
        <w:rPr>
          <w:rFonts w:hint="eastAsia" w:ascii="仿宋_GB2312" w:hAnsi="仿宋_GB2312" w:eastAsia="仿宋_GB2312" w:cs="仿宋_GB2312"/>
          <w:kern w:val="0"/>
          <w:sz w:val="32"/>
          <w:szCs w:val="32"/>
        </w:rPr>
        <w:t>、绩效工资</w:t>
      </w:r>
      <w:r>
        <w:rPr>
          <w:rFonts w:hint="eastAsia" w:ascii="仿宋_GB2312" w:hAnsi="仿宋_GB2312" w:eastAsia="仿宋_GB2312" w:cs="仿宋_GB2312"/>
          <w:kern w:val="0"/>
          <w:sz w:val="32"/>
          <w:szCs w:val="32"/>
          <w:lang w:val="en-US" w:eastAsia="zh-CN"/>
        </w:rPr>
        <w:t>121.63万元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机关事业单位基本养老保险缴费62.68万元、职业年金缴费0.99万元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职工基本医疗保险缴费27.75万元、公务员医疗补助缴费4.49万元、其他社会保障缴费8.09万元、</w:t>
      </w:r>
      <w:r>
        <w:rPr>
          <w:rFonts w:hint="eastAsia" w:ascii="仿宋_GB2312" w:hAnsi="仿宋_GB2312" w:eastAsia="仿宋_GB2312" w:cs="仿宋_GB2312"/>
          <w:kern w:val="0"/>
          <w:sz w:val="32"/>
          <w:szCs w:val="32"/>
        </w:rPr>
        <w:t>住房公积金</w:t>
      </w:r>
      <w:r>
        <w:rPr>
          <w:rFonts w:hint="eastAsia" w:ascii="仿宋_GB2312" w:hAnsi="仿宋_GB2312" w:eastAsia="仿宋_GB2312" w:cs="仿宋_GB2312"/>
          <w:kern w:val="0"/>
          <w:sz w:val="32"/>
          <w:szCs w:val="32"/>
          <w:lang w:val="en-US" w:eastAsia="zh-CN"/>
        </w:rPr>
        <w:t>47.84万元、</w:t>
      </w:r>
      <w:r>
        <w:rPr>
          <w:rFonts w:hint="eastAsia" w:ascii="仿宋_GB2312" w:hAnsi="仿宋_GB2312" w:eastAsia="仿宋_GB2312" w:cs="仿宋_GB2312"/>
          <w:kern w:val="0"/>
          <w:sz w:val="32"/>
          <w:szCs w:val="32"/>
        </w:rPr>
        <w:t>退休费</w:t>
      </w:r>
      <w:r>
        <w:rPr>
          <w:rFonts w:hint="eastAsia" w:ascii="仿宋_GB2312" w:hAnsi="仿宋_GB2312" w:eastAsia="仿宋_GB2312" w:cs="仿宋_GB2312"/>
          <w:kern w:val="0"/>
          <w:sz w:val="32"/>
          <w:szCs w:val="32"/>
          <w:lang w:val="en-US" w:eastAsia="zh-CN"/>
        </w:rPr>
        <w:t>23.27万元</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（二）公用经费</w:t>
      </w:r>
      <w:r>
        <w:rPr>
          <w:rFonts w:hint="eastAsia" w:ascii="仿宋_GB2312" w:hAnsi="仿宋_GB2312" w:eastAsia="仿宋_GB2312" w:cs="仿宋_GB2312"/>
          <w:kern w:val="0"/>
          <w:sz w:val="32"/>
          <w:szCs w:val="32"/>
          <w:u w:val="single"/>
        </w:rPr>
        <w:t xml:space="preserve"> 31.54</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。主要包括：办公费</w:t>
      </w:r>
      <w:r>
        <w:rPr>
          <w:rFonts w:hint="eastAsia" w:ascii="仿宋_GB2312" w:hAnsi="仿宋_GB2312" w:eastAsia="仿宋_GB2312" w:cs="仿宋_GB2312"/>
          <w:kern w:val="0"/>
          <w:sz w:val="32"/>
          <w:szCs w:val="32"/>
          <w:lang w:val="en-US" w:eastAsia="zh-CN"/>
        </w:rPr>
        <w:t>5.53万元</w:t>
      </w:r>
      <w:r>
        <w:rPr>
          <w:rFonts w:hint="eastAsia" w:ascii="仿宋_GB2312" w:hAnsi="仿宋_GB2312" w:eastAsia="仿宋_GB2312" w:cs="仿宋_GB2312"/>
          <w:kern w:val="0"/>
          <w:sz w:val="32"/>
          <w:szCs w:val="32"/>
        </w:rPr>
        <w:t>、印刷费</w:t>
      </w:r>
      <w:r>
        <w:rPr>
          <w:rFonts w:hint="eastAsia" w:ascii="仿宋_GB2312" w:hAnsi="仿宋_GB2312" w:eastAsia="仿宋_GB2312" w:cs="仿宋_GB2312"/>
          <w:kern w:val="0"/>
          <w:sz w:val="32"/>
          <w:szCs w:val="32"/>
          <w:lang w:val="en-US" w:eastAsia="zh-CN"/>
        </w:rPr>
        <w:t>0.7万元</w:t>
      </w:r>
      <w:r>
        <w:rPr>
          <w:rFonts w:hint="eastAsia" w:ascii="仿宋_GB2312" w:hAnsi="仿宋_GB2312" w:eastAsia="仿宋_GB2312" w:cs="仿宋_GB2312"/>
          <w:kern w:val="0"/>
          <w:sz w:val="32"/>
          <w:szCs w:val="32"/>
        </w:rPr>
        <w:t>、手续费</w:t>
      </w:r>
      <w:r>
        <w:rPr>
          <w:rFonts w:hint="eastAsia" w:ascii="仿宋_GB2312" w:hAnsi="仿宋_GB2312" w:eastAsia="仿宋_GB2312" w:cs="仿宋_GB2312"/>
          <w:kern w:val="0"/>
          <w:sz w:val="32"/>
          <w:szCs w:val="32"/>
          <w:lang w:val="en-US" w:eastAsia="zh-CN"/>
        </w:rPr>
        <w:t>0.05万元</w:t>
      </w:r>
      <w:r>
        <w:rPr>
          <w:rFonts w:hint="eastAsia" w:ascii="仿宋_GB2312" w:hAnsi="仿宋_GB2312" w:eastAsia="仿宋_GB2312" w:cs="仿宋_GB2312"/>
          <w:kern w:val="0"/>
          <w:sz w:val="32"/>
          <w:szCs w:val="32"/>
        </w:rPr>
        <w:t>、邮电费</w:t>
      </w:r>
      <w:r>
        <w:rPr>
          <w:rFonts w:hint="eastAsia" w:ascii="仿宋_GB2312" w:hAnsi="仿宋_GB2312" w:eastAsia="仿宋_GB2312" w:cs="仿宋_GB2312"/>
          <w:kern w:val="0"/>
          <w:sz w:val="32"/>
          <w:szCs w:val="32"/>
          <w:lang w:val="en-US" w:eastAsia="zh-CN"/>
        </w:rPr>
        <w:t>3.23万元</w:t>
      </w:r>
      <w:r>
        <w:rPr>
          <w:rFonts w:hint="eastAsia" w:ascii="仿宋_GB2312" w:hAnsi="仿宋_GB2312" w:eastAsia="仿宋_GB2312" w:cs="仿宋_GB2312"/>
          <w:kern w:val="0"/>
          <w:sz w:val="32"/>
          <w:szCs w:val="32"/>
        </w:rPr>
        <w:t>、差旅费</w:t>
      </w:r>
      <w:r>
        <w:rPr>
          <w:rFonts w:hint="eastAsia" w:ascii="仿宋_GB2312" w:hAnsi="仿宋_GB2312" w:eastAsia="仿宋_GB2312" w:cs="仿宋_GB2312"/>
          <w:kern w:val="0"/>
          <w:sz w:val="32"/>
          <w:szCs w:val="32"/>
          <w:lang w:val="en-US" w:eastAsia="zh-CN"/>
        </w:rPr>
        <w:t>2.05万元</w:t>
      </w:r>
      <w:r>
        <w:rPr>
          <w:rFonts w:hint="eastAsia" w:ascii="仿宋_GB2312" w:hAnsi="仿宋_GB2312" w:eastAsia="仿宋_GB2312" w:cs="仿宋_GB2312"/>
          <w:kern w:val="0"/>
          <w:sz w:val="32"/>
          <w:szCs w:val="32"/>
        </w:rPr>
        <w:t>、劳务费</w:t>
      </w:r>
      <w:r>
        <w:rPr>
          <w:rFonts w:hint="eastAsia" w:ascii="仿宋_GB2312" w:hAnsi="仿宋_GB2312" w:eastAsia="仿宋_GB2312" w:cs="仿宋_GB2312"/>
          <w:kern w:val="0"/>
          <w:sz w:val="32"/>
          <w:szCs w:val="32"/>
          <w:lang w:val="en-US" w:eastAsia="zh-CN"/>
        </w:rPr>
        <w:t>3.65万元</w:t>
      </w:r>
      <w:r>
        <w:rPr>
          <w:rFonts w:hint="eastAsia" w:ascii="仿宋_GB2312" w:hAnsi="仿宋_GB2312" w:eastAsia="仿宋_GB2312" w:cs="仿宋_GB2312"/>
          <w:kern w:val="0"/>
          <w:sz w:val="32"/>
          <w:szCs w:val="32"/>
        </w:rPr>
        <w:t>、公务用车运行维护费</w:t>
      </w:r>
      <w:r>
        <w:rPr>
          <w:rFonts w:hint="eastAsia" w:ascii="仿宋_GB2312" w:hAnsi="仿宋_GB2312" w:eastAsia="仿宋_GB2312" w:cs="仿宋_GB2312"/>
          <w:kern w:val="0"/>
          <w:sz w:val="32"/>
          <w:szCs w:val="32"/>
          <w:lang w:val="en-US" w:eastAsia="zh-CN"/>
        </w:rPr>
        <w:t>0.64万元</w:t>
      </w:r>
      <w:r>
        <w:rPr>
          <w:rFonts w:hint="eastAsia" w:ascii="仿宋_GB2312" w:hAnsi="仿宋_GB2312" w:eastAsia="仿宋_GB2312" w:cs="仿宋_GB2312"/>
          <w:kern w:val="0"/>
          <w:sz w:val="32"/>
          <w:szCs w:val="32"/>
        </w:rPr>
        <w:t>、其他交通费用</w:t>
      </w:r>
      <w:r>
        <w:rPr>
          <w:rFonts w:hint="eastAsia" w:ascii="仿宋_GB2312" w:hAnsi="仿宋_GB2312" w:eastAsia="仿宋_GB2312" w:cs="仿宋_GB2312"/>
          <w:kern w:val="0"/>
          <w:sz w:val="32"/>
          <w:szCs w:val="32"/>
          <w:lang w:val="en-US" w:eastAsia="zh-CN"/>
        </w:rPr>
        <w:t>9.13万元</w:t>
      </w:r>
      <w:r>
        <w:rPr>
          <w:rFonts w:hint="eastAsia" w:ascii="仿宋_GB2312" w:hAnsi="仿宋_GB2312" w:eastAsia="仿宋_GB2312" w:cs="仿宋_GB2312"/>
          <w:kern w:val="0"/>
          <w:sz w:val="32"/>
          <w:szCs w:val="32"/>
        </w:rPr>
        <w:t>、其他商品和服务支出</w:t>
      </w:r>
      <w:r>
        <w:rPr>
          <w:rFonts w:hint="eastAsia" w:ascii="仿宋_GB2312" w:hAnsi="仿宋_GB2312" w:eastAsia="仿宋_GB2312" w:cs="仿宋_GB2312"/>
          <w:kern w:val="0"/>
          <w:sz w:val="32"/>
          <w:szCs w:val="32"/>
          <w:lang w:val="en-US" w:eastAsia="zh-CN"/>
        </w:rPr>
        <w:t>1.11万元</w:t>
      </w:r>
      <w:r>
        <w:rPr>
          <w:rFonts w:hint="eastAsia" w:ascii="仿宋_GB2312" w:hAnsi="仿宋_GB2312" w:eastAsia="仿宋_GB2312" w:cs="仿宋_GB2312"/>
          <w:kern w:val="0"/>
          <w:sz w:val="32"/>
          <w:szCs w:val="32"/>
        </w:rPr>
        <w:t>、办公设备购置</w:t>
      </w:r>
      <w:r>
        <w:rPr>
          <w:rFonts w:hint="eastAsia" w:ascii="仿宋_GB2312" w:hAnsi="仿宋_GB2312" w:eastAsia="仿宋_GB2312" w:cs="仿宋_GB2312"/>
          <w:kern w:val="0"/>
          <w:sz w:val="32"/>
          <w:szCs w:val="32"/>
          <w:lang w:val="en-US" w:eastAsia="zh-CN"/>
        </w:rPr>
        <w:t>5.44万元</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黑体" w:hAnsi="黑体" w:eastAsia="黑体" w:cs="黑体"/>
          <w:b/>
          <w:bCs/>
          <w:kern w:val="0"/>
          <w:sz w:val="32"/>
          <w:szCs w:val="32"/>
        </w:rPr>
        <w:t>七、一般公共预算财政拨款项目支出决算情况说明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w:t>
      </w: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kern w:val="0"/>
          <w:sz w:val="32"/>
          <w:szCs w:val="32"/>
        </w:rPr>
        <w:t>内蒙古自治区通辽市科学技术协会（部门） 2023年度一般公共预算财政拨款项目支出决算</w:t>
      </w:r>
      <w:r>
        <w:rPr>
          <w:rFonts w:hint="eastAsia" w:ascii="仿宋_GB2312" w:hAnsi="仿宋_GB2312" w:eastAsia="仿宋_GB2312" w:cs="仿宋_GB2312"/>
          <w:kern w:val="0"/>
          <w:sz w:val="32"/>
          <w:szCs w:val="32"/>
          <w:u w:val="single"/>
        </w:rPr>
        <w:t xml:space="preserve"> 739.09</w:t>
      </w:r>
      <w:r>
        <w:rPr>
          <w:rFonts w:hint="eastAsia" w:ascii="仿宋_GB2312" w:hAnsi="仿宋_GB2312" w:eastAsia="仿宋_GB2312" w:cs="仿宋_GB2312"/>
          <w:kern w:val="0"/>
          <w:sz w:val="32"/>
          <w:szCs w:val="32"/>
        </w:rPr>
        <w:t>万元，其中：</w:t>
      </w:r>
    </w:p>
    <w:p>
      <w:pPr>
        <w:widowControl/>
        <w:numPr>
          <w:ilvl w:val="0"/>
          <w:numId w:val="0"/>
        </w:numPr>
        <w:spacing w:before="240" w:after="240"/>
        <w:ind w:left="499" w:leftChars="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一</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rPr>
        <w:t>工资福利支出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w:t>
      </w:r>
    </w:p>
    <w:p>
      <w:pPr>
        <w:widowControl/>
        <w:numPr>
          <w:ilvl w:val="0"/>
          <w:numId w:val="0"/>
        </w:numPr>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（二）商品和服务支出</w:t>
      </w:r>
      <w:r>
        <w:rPr>
          <w:rFonts w:hint="eastAsia" w:ascii="仿宋_GB2312" w:hAnsi="仿宋_GB2312" w:eastAsia="仿宋_GB2312" w:cs="仿宋_GB2312"/>
          <w:kern w:val="0"/>
          <w:sz w:val="32"/>
          <w:szCs w:val="32"/>
          <w:u w:val="single"/>
        </w:rPr>
        <w:t xml:space="preserve"> 308.35</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。主要包括：办公费</w:t>
      </w:r>
      <w:r>
        <w:rPr>
          <w:rFonts w:hint="eastAsia" w:ascii="仿宋_GB2312" w:hAnsi="仿宋_GB2312" w:eastAsia="仿宋_GB2312" w:cs="仿宋_GB2312"/>
          <w:kern w:val="0"/>
          <w:sz w:val="32"/>
          <w:szCs w:val="32"/>
          <w:lang w:val="en-US" w:eastAsia="zh-CN"/>
        </w:rPr>
        <w:t>6.9万元</w:t>
      </w:r>
      <w:r>
        <w:rPr>
          <w:rFonts w:hint="eastAsia" w:ascii="仿宋_GB2312" w:hAnsi="仿宋_GB2312" w:eastAsia="仿宋_GB2312" w:cs="仿宋_GB2312"/>
          <w:kern w:val="0"/>
          <w:sz w:val="32"/>
          <w:szCs w:val="32"/>
        </w:rPr>
        <w:t>、印刷费</w:t>
      </w:r>
      <w:r>
        <w:rPr>
          <w:rFonts w:hint="eastAsia" w:ascii="仿宋_GB2312" w:hAnsi="仿宋_GB2312" w:eastAsia="仿宋_GB2312" w:cs="仿宋_GB2312"/>
          <w:kern w:val="0"/>
          <w:sz w:val="32"/>
          <w:szCs w:val="32"/>
          <w:lang w:val="en-US" w:eastAsia="zh-CN"/>
        </w:rPr>
        <w:t>28.91万元</w:t>
      </w:r>
      <w:r>
        <w:rPr>
          <w:rFonts w:hint="eastAsia" w:ascii="仿宋_GB2312" w:hAnsi="仿宋_GB2312" w:eastAsia="仿宋_GB2312" w:cs="仿宋_GB2312"/>
          <w:kern w:val="0"/>
          <w:sz w:val="32"/>
          <w:szCs w:val="32"/>
        </w:rPr>
        <w:t>、邮电费</w:t>
      </w:r>
      <w:r>
        <w:rPr>
          <w:rFonts w:hint="eastAsia" w:ascii="仿宋_GB2312" w:hAnsi="仿宋_GB2312" w:eastAsia="仿宋_GB2312" w:cs="仿宋_GB2312"/>
          <w:kern w:val="0"/>
          <w:sz w:val="32"/>
          <w:szCs w:val="32"/>
          <w:lang w:val="en-US" w:eastAsia="zh-CN"/>
        </w:rPr>
        <w:t>13.41万元</w:t>
      </w:r>
      <w:r>
        <w:rPr>
          <w:rFonts w:hint="eastAsia" w:ascii="仿宋_GB2312" w:hAnsi="仿宋_GB2312" w:eastAsia="仿宋_GB2312" w:cs="仿宋_GB2312"/>
          <w:kern w:val="0"/>
          <w:sz w:val="32"/>
          <w:szCs w:val="32"/>
        </w:rPr>
        <w:t>、差旅费</w:t>
      </w:r>
      <w:r>
        <w:rPr>
          <w:rFonts w:hint="eastAsia" w:ascii="仿宋_GB2312" w:hAnsi="仿宋_GB2312" w:eastAsia="仿宋_GB2312" w:cs="仿宋_GB2312"/>
          <w:kern w:val="0"/>
          <w:sz w:val="32"/>
          <w:szCs w:val="32"/>
          <w:lang w:val="en-US" w:eastAsia="zh-CN"/>
        </w:rPr>
        <w:t>26.98万元</w:t>
      </w:r>
      <w:r>
        <w:rPr>
          <w:rFonts w:hint="eastAsia" w:ascii="仿宋_GB2312" w:hAnsi="仿宋_GB2312" w:eastAsia="仿宋_GB2312" w:cs="仿宋_GB2312"/>
          <w:kern w:val="0"/>
          <w:sz w:val="32"/>
          <w:szCs w:val="32"/>
        </w:rPr>
        <w:t>、维修（护）费</w:t>
      </w:r>
      <w:r>
        <w:rPr>
          <w:rFonts w:hint="eastAsia" w:ascii="仿宋_GB2312" w:hAnsi="仿宋_GB2312" w:eastAsia="仿宋_GB2312" w:cs="仿宋_GB2312"/>
          <w:kern w:val="0"/>
          <w:sz w:val="32"/>
          <w:szCs w:val="32"/>
          <w:lang w:val="en-US" w:eastAsia="zh-CN"/>
        </w:rPr>
        <w:t>8.03万元</w:t>
      </w:r>
      <w:r>
        <w:rPr>
          <w:rFonts w:hint="eastAsia" w:ascii="仿宋_GB2312" w:hAnsi="仿宋_GB2312" w:eastAsia="仿宋_GB2312" w:cs="仿宋_GB2312"/>
          <w:kern w:val="0"/>
          <w:sz w:val="32"/>
          <w:szCs w:val="32"/>
        </w:rPr>
        <w:t>、租赁费</w:t>
      </w:r>
      <w:r>
        <w:rPr>
          <w:rFonts w:hint="eastAsia" w:ascii="仿宋_GB2312" w:hAnsi="仿宋_GB2312" w:eastAsia="仿宋_GB2312" w:cs="仿宋_GB2312"/>
          <w:kern w:val="0"/>
          <w:sz w:val="32"/>
          <w:szCs w:val="32"/>
          <w:lang w:val="en-US" w:eastAsia="zh-CN"/>
        </w:rPr>
        <w:t>8.54万元</w:t>
      </w:r>
      <w:r>
        <w:rPr>
          <w:rFonts w:hint="eastAsia" w:ascii="仿宋_GB2312" w:hAnsi="仿宋_GB2312" w:eastAsia="仿宋_GB2312" w:cs="仿宋_GB2312"/>
          <w:kern w:val="0"/>
          <w:sz w:val="32"/>
          <w:szCs w:val="32"/>
        </w:rPr>
        <w:t>、会议费</w:t>
      </w:r>
      <w:r>
        <w:rPr>
          <w:rFonts w:hint="eastAsia" w:ascii="仿宋_GB2312" w:hAnsi="仿宋_GB2312" w:eastAsia="仿宋_GB2312" w:cs="仿宋_GB2312"/>
          <w:kern w:val="0"/>
          <w:sz w:val="32"/>
          <w:szCs w:val="32"/>
          <w:lang w:val="en-US" w:eastAsia="zh-CN"/>
        </w:rPr>
        <w:t>4.81万元</w:t>
      </w:r>
      <w:r>
        <w:rPr>
          <w:rFonts w:hint="eastAsia" w:ascii="仿宋_GB2312" w:hAnsi="仿宋_GB2312" w:eastAsia="仿宋_GB2312" w:cs="仿宋_GB2312"/>
          <w:kern w:val="0"/>
          <w:sz w:val="32"/>
          <w:szCs w:val="32"/>
        </w:rPr>
        <w:t>、培训费</w:t>
      </w:r>
      <w:r>
        <w:rPr>
          <w:rFonts w:hint="eastAsia" w:ascii="仿宋_GB2312" w:hAnsi="仿宋_GB2312" w:eastAsia="仿宋_GB2312" w:cs="仿宋_GB2312"/>
          <w:kern w:val="0"/>
          <w:sz w:val="32"/>
          <w:szCs w:val="32"/>
          <w:lang w:val="en-US" w:eastAsia="zh-CN"/>
        </w:rPr>
        <w:t>28.81万元</w:t>
      </w:r>
      <w:r>
        <w:rPr>
          <w:rFonts w:hint="eastAsia" w:ascii="仿宋_GB2312" w:hAnsi="仿宋_GB2312" w:eastAsia="仿宋_GB2312" w:cs="仿宋_GB2312"/>
          <w:kern w:val="0"/>
          <w:sz w:val="32"/>
          <w:szCs w:val="32"/>
        </w:rPr>
        <w:t>、专用材料费</w:t>
      </w:r>
      <w:r>
        <w:rPr>
          <w:rFonts w:hint="eastAsia" w:ascii="仿宋_GB2312" w:hAnsi="仿宋_GB2312" w:eastAsia="仿宋_GB2312" w:cs="仿宋_GB2312"/>
          <w:kern w:val="0"/>
          <w:sz w:val="32"/>
          <w:szCs w:val="32"/>
          <w:lang w:val="en-US" w:eastAsia="zh-CN"/>
        </w:rPr>
        <w:t>4.75万元</w:t>
      </w:r>
      <w:r>
        <w:rPr>
          <w:rFonts w:hint="eastAsia" w:ascii="仿宋_GB2312" w:hAnsi="仿宋_GB2312" w:eastAsia="仿宋_GB2312" w:cs="仿宋_GB2312"/>
          <w:kern w:val="0"/>
          <w:sz w:val="32"/>
          <w:szCs w:val="32"/>
        </w:rPr>
        <w:t>、劳务费</w:t>
      </w:r>
      <w:r>
        <w:rPr>
          <w:rFonts w:hint="eastAsia" w:ascii="仿宋_GB2312" w:hAnsi="仿宋_GB2312" w:eastAsia="仿宋_GB2312" w:cs="仿宋_GB2312"/>
          <w:kern w:val="0"/>
          <w:sz w:val="32"/>
          <w:szCs w:val="32"/>
          <w:lang w:val="en-US" w:eastAsia="zh-CN"/>
        </w:rPr>
        <w:t>134.71万元</w:t>
      </w:r>
      <w:r>
        <w:rPr>
          <w:rFonts w:hint="eastAsia" w:ascii="仿宋_GB2312" w:hAnsi="仿宋_GB2312" w:eastAsia="仿宋_GB2312" w:cs="仿宋_GB2312"/>
          <w:kern w:val="0"/>
          <w:sz w:val="32"/>
          <w:szCs w:val="32"/>
        </w:rPr>
        <w:t>、其他交通费用</w:t>
      </w:r>
      <w:r>
        <w:rPr>
          <w:rFonts w:hint="eastAsia" w:ascii="仿宋_GB2312" w:hAnsi="仿宋_GB2312" w:eastAsia="仿宋_GB2312" w:cs="仿宋_GB2312"/>
          <w:kern w:val="0"/>
          <w:sz w:val="32"/>
          <w:szCs w:val="32"/>
          <w:lang w:val="en-US" w:eastAsia="zh-CN"/>
        </w:rPr>
        <w:t>20.06万元</w:t>
      </w:r>
      <w:r>
        <w:rPr>
          <w:rFonts w:hint="eastAsia" w:ascii="仿宋_GB2312" w:hAnsi="仿宋_GB2312" w:eastAsia="仿宋_GB2312" w:cs="仿宋_GB2312"/>
          <w:kern w:val="0"/>
          <w:sz w:val="32"/>
          <w:szCs w:val="32"/>
        </w:rPr>
        <w:t>、其他商品和服务支出</w:t>
      </w:r>
      <w:r>
        <w:rPr>
          <w:rFonts w:hint="eastAsia" w:ascii="仿宋_GB2312" w:hAnsi="仿宋_GB2312" w:eastAsia="仿宋_GB2312" w:cs="仿宋_GB2312"/>
          <w:kern w:val="0"/>
          <w:sz w:val="32"/>
          <w:szCs w:val="32"/>
          <w:lang w:val="en-US" w:eastAsia="zh-CN"/>
        </w:rPr>
        <w:t>22.45万元</w:t>
      </w:r>
      <w:r>
        <w:rPr>
          <w:rFonts w:hint="eastAsia" w:ascii="仿宋_GB2312" w:hAnsi="仿宋_GB2312" w:eastAsia="仿宋_GB2312" w:cs="仿宋_GB2312"/>
          <w:kern w:val="0"/>
          <w:sz w:val="32"/>
          <w:szCs w:val="32"/>
        </w:rPr>
        <w:t>。</w:t>
      </w:r>
    </w:p>
    <w:p>
      <w:pPr>
        <w:widowControl/>
        <w:spacing w:before="240" w:after="240"/>
        <w:ind w:firstLine="643"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三</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对个人和家庭的补助4.8万元。</w:t>
      </w:r>
      <w:r>
        <w:rPr>
          <w:rFonts w:hint="eastAsia" w:ascii="仿宋_GB2312" w:hAnsi="仿宋_GB2312" w:eastAsia="仿宋_GB2312" w:cs="仿宋_GB2312"/>
          <w:kern w:val="0"/>
          <w:sz w:val="32"/>
          <w:szCs w:val="32"/>
          <w:lang w:val="en-US" w:eastAsia="zh-CN"/>
        </w:rPr>
        <w:t>主要包括：其他对个人和家庭的补助4.8万元。</w:t>
      </w:r>
    </w:p>
    <w:p>
      <w:pPr>
        <w:pStyle w:val="2"/>
        <w:ind w:left="0" w:leftChars="0"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val="en-US" w:eastAsia="zh-CN" w:bidi="ar-SA"/>
        </w:rPr>
        <w:t>（四）资本性支出428.94万元。</w:t>
      </w:r>
      <w:r>
        <w:rPr>
          <w:rFonts w:hint="eastAsia" w:ascii="仿宋_GB2312" w:hAnsi="仿宋_GB2312" w:eastAsia="仿宋_GB2312" w:cs="仿宋_GB2312"/>
          <w:kern w:val="0"/>
          <w:sz w:val="32"/>
          <w:szCs w:val="32"/>
          <w:lang w:val="en-US" w:eastAsia="zh-CN" w:bidi="ar-SA"/>
        </w:rPr>
        <w:t>主要包括：办公设备购置0.61万元、专用设备购置425.33万元。</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8"/>
          <w:szCs w:val="28"/>
        </w:rPr>
        <w:t xml:space="preserve"> 八、财政拨款“三公”经费支出决算情况说明</w:t>
      </w:r>
    </w:p>
    <w:p>
      <w:pPr>
        <w:widowControl/>
        <w:spacing w:before="240" w:after="240"/>
        <w:jc w:val="left"/>
        <w:rPr>
          <w:rFonts w:hint="eastAsia" w:ascii="仿宋_GB2312" w:hAnsi="仿宋_GB2312" w:eastAsia="仿宋_GB2312" w:cs="仿宋_GB2312"/>
          <w:kern w:val="0"/>
          <w:sz w:val="32"/>
          <w:szCs w:val="32"/>
        </w:rPr>
      </w:pPr>
      <w:r>
        <w:rPr>
          <w:rFonts w:ascii="kai_ti_gb2312" w:hAnsi="kai_ti_gb2312" w:eastAsia="kai_ti_gb2312" w:cs="kai_ti_gb2312"/>
          <w:b/>
          <w:bCs/>
          <w:kern w:val="0"/>
          <w:sz w:val="27"/>
          <w:szCs w:val="27"/>
        </w:rPr>
        <w:t>   </w:t>
      </w:r>
      <w:r>
        <w:rPr>
          <w:rFonts w:hint="eastAsia" w:ascii="仿宋_GB2312" w:hAnsi="仿宋_GB2312" w:eastAsia="仿宋_GB2312" w:cs="仿宋_GB2312"/>
          <w:b/>
          <w:bCs/>
          <w:kern w:val="0"/>
          <w:sz w:val="32"/>
          <w:szCs w:val="32"/>
        </w:rPr>
        <w:t xml:space="preserve"> （一）财政拨款“三公”经费支出总体情况说明。</w:t>
      </w:r>
    </w:p>
    <w:p>
      <w:pPr>
        <w:widowControl/>
        <w:spacing w:before="240" w:after="24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    内蒙古自治区通辽市科学技术协会（部门） 2023年度财政拨款“三公”经费全年预算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rPr>
        <w:t xml:space="preserve"> 100.00</w:t>
      </w:r>
      <w:r>
        <w:rPr>
          <w:rFonts w:hint="eastAsia" w:ascii="仿宋_GB2312" w:hAnsi="仿宋_GB2312" w:eastAsia="仿宋_GB2312" w:cs="仿宋_GB2312"/>
          <w:kern w:val="0"/>
          <w:sz w:val="32"/>
          <w:szCs w:val="32"/>
        </w:rPr>
        <w:t>%。其中：因公出国（境）费全年预算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%；公务用车购置及运行维护费全年预算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rPr>
        <w:t xml:space="preserve"> 100.00</w:t>
      </w:r>
      <w:r>
        <w:rPr>
          <w:rFonts w:hint="eastAsia" w:ascii="仿宋_GB2312" w:hAnsi="仿宋_GB2312" w:eastAsia="仿宋_GB2312" w:cs="仿宋_GB2312"/>
          <w:kern w:val="0"/>
          <w:sz w:val="32"/>
          <w:szCs w:val="32"/>
        </w:rPr>
        <w:t xml:space="preserve">%；公务接待费全年预算 </w:t>
      </w:r>
      <w:r>
        <w:rPr>
          <w:rFonts w:hint="eastAsia" w:ascii="仿宋_GB2312" w:hAnsi="仿宋_GB2312" w:eastAsia="仿宋_GB2312" w:cs="仿宋_GB2312"/>
          <w:kern w:val="0"/>
          <w:sz w:val="32"/>
          <w:szCs w:val="32"/>
          <w:u w:val="single"/>
        </w:rPr>
        <w:t>0.00</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%。2023年度一般公共预算财政拨款“三公”经费支出决算与预算</w:t>
      </w:r>
      <w:r>
        <w:rPr>
          <w:rFonts w:hint="eastAsia" w:ascii="仿宋_GB2312" w:hAnsi="仿宋_GB2312" w:eastAsia="仿宋_GB2312" w:cs="仿宋_GB2312"/>
          <w:kern w:val="0"/>
          <w:sz w:val="32"/>
          <w:szCs w:val="32"/>
          <w:lang w:val="en-US" w:eastAsia="zh-CN"/>
        </w:rPr>
        <w:t>无</w:t>
      </w:r>
      <w:r>
        <w:rPr>
          <w:rFonts w:hint="eastAsia" w:ascii="仿宋_GB2312" w:hAnsi="仿宋_GB2312" w:eastAsia="仿宋_GB2312" w:cs="仿宋_GB2312"/>
          <w:kern w:val="0"/>
          <w:sz w:val="32"/>
          <w:szCs w:val="32"/>
        </w:rPr>
        <w:t>差异</w:t>
      </w:r>
      <w:r>
        <w:rPr>
          <w:rFonts w:hint="eastAsia" w:ascii="仿宋_GB2312" w:hAnsi="仿宋_GB2312" w:eastAsia="仿宋_GB2312" w:cs="仿宋_GB2312"/>
          <w:kern w:val="0"/>
          <w:sz w:val="32"/>
          <w:szCs w:val="32"/>
          <w:lang w:eastAsia="zh-CN"/>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（二）财政拨款“三公”经费支出具体情况说明。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内蒙古自治区通辽市科学技术协会（部门） 2023年度财政拨款“三公”经费支出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万元。因公出国（境）费支出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%；公务用车购置及运行维护费支出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100.00</w:t>
      </w:r>
      <w:r>
        <w:rPr>
          <w:rFonts w:hint="eastAsia" w:ascii="仿宋_GB2312" w:hAnsi="仿宋_GB2312" w:eastAsia="仿宋_GB2312" w:cs="仿宋_GB2312"/>
          <w:kern w:val="0"/>
          <w:sz w:val="32"/>
          <w:szCs w:val="32"/>
        </w:rPr>
        <w:t>%；公务接待费支出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%。其中：</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1.因公出国（境）费支出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万元，全年出国（境）团组</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个，累计</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人次。与上年决算相比，增加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0 </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本部门无此项内容</w:t>
      </w:r>
      <w:r>
        <w:rPr>
          <w:rFonts w:hint="eastAsia" w:ascii="仿宋_GB2312" w:hAnsi="仿宋_GB2312" w:eastAsia="仿宋_GB2312" w:cs="仿宋_GB2312"/>
          <w:kern w:val="0"/>
          <w:sz w:val="32"/>
          <w:szCs w:val="32"/>
        </w:rPr>
        <w:t>。</w:t>
      </w:r>
    </w:p>
    <w:p>
      <w:pPr>
        <w:widowControl/>
        <w:spacing w:before="240" w:after="240"/>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2.公务用车购置及运行维护费支出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万元。其中：</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（1）公务用车购置支出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万元。本年度使用财政拨款购置公务用车</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辆，开支内容：</w:t>
      </w:r>
      <w:r>
        <w:rPr>
          <w:rFonts w:hint="eastAsia" w:ascii="仿宋_GB2312" w:hAnsi="仿宋_GB2312" w:eastAsia="仿宋_GB2312" w:cs="仿宋_GB2312"/>
          <w:kern w:val="0"/>
          <w:sz w:val="32"/>
          <w:szCs w:val="32"/>
          <w:lang w:val="en-US" w:eastAsia="zh-CN"/>
        </w:rPr>
        <w:t>本单位无此项内容</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lang w:val="en-US" w:eastAsia="zh-CN"/>
        </w:rPr>
        <w:t xml:space="preserve"> 0</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本部门无此项内容</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（2）公务用车运行维护费支出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万元。公务用车运行维护费主要用于按规定保留的公务用车的燃料费、维修费、过桥过路费、保险费、安全奖励费用等支出。截至2023年12月31日，使用财政拨款开支的公务用车保有量为</w:t>
      </w:r>
      <w:r>
        <w:rPr>
          <w:rFonts w:hint="eastAsia" w:ascii="仿宋_GB2312" w:hAnsi="仿宋_GB2312" w:eastAsia="仿宋_GB2312" w:cs="仿宋_GB2312"/>
          <w:kern w:val="0"/>
          <w:sz w:val="32"/>
          <w:szCs w:val="32"/>
          <w:u w:val="single"/>
          <w:lang w:val="en-US" w:eastAsia="zh-CN"/>
        </w:rPr>
        <w:t>4</w:t>
      </w:r>
      <w:r>
        <w:rPr>
          <w:rFonts w:hint="eastAsia" w:ascii="仿宋_GB2312" w:hAnsi="仿宋_GB2312" w:eastAsia="仿宋_GB2312" w:cs="仿宋_GB2312"/>
          <w:kern w:val="0"/>
          <w:sz w:val="32"/>
          <w:szCs w:val="32"/>
        </w:rPr>
        <w:t>辆。与上年决算相比，增加</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 xml:space="preserve">万元，增长 </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2022年因特殊原因车辆保险未能支出，2023年正常支付。</w:t>
      </w:r>
    </w:p>
    <w:p>
      <w:pPr>
        <w:widowControl/>
        <w:spacing w:before="240" w:after="240"/>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3.公务接待费支出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万元。其中：国内公务接待支出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万元，接待</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批次，</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人次，开支内容：</w:t>
      </w:r>
      <w:r>
        <w:rPr>
          <w:rFonts w:hint="eastAsia" w:ascii="仿宋_GB2312" w:hAnsi="仿宋_GB2312" w:eastAsia="仿宋_GB2312" w:cs="仿宋_GB2312"/>
          <w:kern w:val="0"/>
          <w:sz w:val="32"/>
          <w:szCs w:val="32"/>
          <w:lang w:val="en-US" w:eastAsia="zh-CN"/>
        </w:rPr>
        <w:t>本单位无此项内容</w:t>
      </w:r>
      <w:r>
        <w:rPr>
          <w:rFonts w:hint="eastAsia" w:ascii="仿宋_GB2312" w:hAnsi="仿宋_GB2312" w:eastAsia="仿宋_GB2312" w:cs="仿宋_GB2312"/>
          <w:kern w:val="0"/>
          <w:sz w:val="32"/>
          <w:szCs w:val="32"/>
        </w:rPr>
        <w:t>；国（境）外公务接待支出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万元，接待</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批次，</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人次，开支内容：</w:t>
      </w:r>
      <w:r>
        <w:rPr>
          <w:rFonts w:hint="eastAsia" w:ascii="仿宋_GB2312" w:hAnsi="仿宋_GB2312" w:eastAsia="仿宋_GB2312" w:cs="仿宋_GB2312"/>
          <w:kern w:val="0"/>
          <w:sz w:val="32"/>
          <w:szCs w:val="32"/>
          <w:lang w:val="en-US" w:eastAsia="zh-CN"/>
        </w:rPr>
        <w:t>本单位无此项内容</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0 </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本部门无此项内容</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hint="eastAsia" w:ascii="Calibri" w:hAnsi="Calibri" w:cs="Calibri"/>
          <w:b/>
          <w:bCs/>
          <w:kern w:val="0"/>
          <w:sz w:val="27"/>
          <w:szCs w:val="27"/>
          <w:lang w:val="en-US" w:eastAsia="zh-CN"/>
        </w:rPr>
        <w:t xml:space="preserve">     </w:t>
      </w:r>
      <w:r>
        <w:rPr>
          <w:rFonts w:ascii="黑体" w:hAnsi="黑体" w:eastAsia="黑体" w:cs="黑体"/>
          <w:b/>
          <w:bCs/>
          <w:kern w:val="0"/>
          <w:sz w:val="27"/>
          <w:szCs w:val="27"/>
        </w:rPr>
        <w:t>九、政府性基金预算财政拨款支出决算情况说明</w:t>
      </w:r>
    </w:p>
    <w:p>
      <w:pPr>
        <w:widowControl/>
        <w:spacing w:before="240" w:after="240"/>
        <w:jc w:val="left"/>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w:t>
      </w:r>
      <w:r>
        <w:rPr>
          <w:rFonts w:hint="eastAsia" w:ascii="仿宋_GB2312" w:hAnsi="仿宋_GB2312" w:eastAsia="仿宋_GB2312" w:cs="仿宋_GB2312"/>
          <w:kern w:val="0"/>
          <w:sz w:val="32"/>
          <w:szCs w:val="32"/>
        </w:rPr>
        <w:t>    内蒙古自治区通辽市科学技术协会（部门） 2023年度政府性基金预算财政拨款支出决算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lang w:val="en-US" w:eastAsia="zh-CN"/>
        </w:rPr>
        <w:t xml:space="preserve"> 0 </w:t>
      </w:r>
      <w:r>
        <w:rPr>
          <w:rFonts w:hint="eastAsia" w:ascii="仿宋_GB2312" w:hAnsi="仿宋_GB2312" w:eastAsia="仿宋_GB2312" w:cs="仿宋_GB2312"/>
          <w:kern w:val="0"/>
          <w:sz w:val="32"/>
          <w:szCs w:val="32"/>
        </w:rPr>
        <w:t>%，变动原因：本年无政府性基金预算财政拨款收、支、余。</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xml:space="preserve">  </w:t>
      </w: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kern w:val="0"/>
          <w:sz w:val="32"/>
          <w:szCs w:val="32"/>
        </w:rPr>
        <w:t>  内蒙古自治区通辽市科学技术协会（部门） 2023年度国有资本经营预算财政拨款支出决算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 xml:space="preserve">万元，增长 </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%，变动原因：本年无国有资本经营预算财政拨款收、支、余。</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十一、机构运行经费支出决算情况说明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kern w:val="0"/>
          <w:sz w:val="32"/>
          <w:szCs w:val="32"/>
        </w:rPr>
        <w:t>  内蒙古自治区通辽市科学技术协会（部门） 2023年度机构运行经费支出决算</w:t>
      </w:r>
      <w:r>
        <w:rPr>
          <w:rFonts w:hint="eastAsia" w:ascii="仿宋_GB2312" w:hAnsi="仿宋_GB2312" w:eastAsia="仿宋_GB2312" w:cs="仿宋_GB2312"/>
          <w:kern w:val="0"/>
          <w:sz w:val="32"/>
          <w:szCs w:val="32"/>
          <w:u w:val="single"/>
        </w:rPr>
        <w:t xml:space="preserve"> 31.54</w:t>
      </w:r>
      <w:r>
        <w:rPr>
          <w:rFonts w:hint="eastAsia" w:ascii="仿宋_GB2312" w:hAnsi="仿宋_GB2312" w:eastAsia="仿宋_GB2312" w:cs="仿宋_GB2312"/>
          <w:kern w:val="0"/>
          <w:sz w:val="32"/>
          <w:szCs w:val="32"/>
        </w:rPr>
        <w:t>万元。比上年决算相比，增加</w:t>
      </w:r>
      <w:r>
        <w:rPr>
          <w:rFonts w:hint="eastAsia" w:ascii="仿宋_GB2312" w:hAnsi="仿宋_GB2312" w:eastAsia="仿宋_GB2312" w:cs="仿宋_GB2312"/>
          <w:kern w:val="0"/>
          <w:sz w:val="32"/>
          <w:szCs w:val="32"/>
          <w:u w:val="single"/>
        </w:rPr>
        <w:t xml:space="preserve"> 7.74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32.53</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人员增加</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hint="eastAsia" w:ascii="Calibri" w:hAnsi="Calibri" w:cs="Calibri"/>
          <w:b/>
          <w:bCs/>
          <w:kern w:val="0"/>
          <w:sz w:val="27"/>
          <w:szCs w:val="27"/>
          <w:lang w:val="en-US" w:eastAsia="zh-CN"/>
        </w:rPr>
        <w:t xml:space="preserve">   </w:t>
      </w:r>
      <w:r>
        <w:rPr>
          <w:rFonts w:ascii="黑体" w:hAnsi="黑体" w:eastAsia="黑体" w:cs="黑体"/>
          <w:b/>
          <w:bCs/>
          <w:kern w:val="0"/>
          <w:sz w:val="27"/>
          <w:szCs w:val="27"/>
        </w:rPr>
        <w:t>十二、政府采购支出决算情况说明</w:t>
      </w:r>
    </w:p>
    <w:p>
      <w:pPr>
        <w:widowControl/>
        <w:spacing w:before="240" w:after="240"/>
        <w:ind w:firstLine="640" w:firstLineChars="200"/>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内蒙古自治区通辽市科学技术协会（部门） 2023年度政府采购支出总额</w:t>
      </w:r>
      <w:r>
        <w:rPr>
          <w:rFonts w:hint="eastAsia" w:ascii="仿宋_GB2312" w:hAnsi="仿宋_GB2312" w:eastAsia="仿宋_GB2312" w:cs="仿宋_GB2312"/>
          <w:kern w:val="0"/>
          <w:sz w:val="32"/>
          <w:szCs w:val="32"/>
          <w:u w:val="single"/>
        </w:rPr>
        <w:t xml:space="preserve"> 379.18</w:t>
      </w:r>
      <w:r>
        <w:rPr>
          <w:rFonts w:hint="eastAsia" w:ascii="仿宋_GB2312" w:hAnsi="仿宋_GB2312" w:eastAsia="仿宋_GB2312" w:cs="仿宋_GB2312"/>
          <w:kern w:val="0"/>
          <w:sz w:val="32"/>
          <w:szCs w:val="32"/>
        </w:rPr>
        <w:t>万元，其中：政府采购货物支出</w:t>
      </w:r>
      <w:r>
        <w:rPr>
          <w:rFonts w:hint="eastAsia" w:ascii="仿宋_GB2312" w:hAnsi="仿宋_GB2312" w:eastAsia="仿宋_GB2312" w:cs="仿宋_GB2312"/>
          <w:kern w:val="0"/>
          <w:sz w:val="32"/>
          <w:szCs w:val="32"/>
          <w:u w:val="single"/>
        </w:rPr>
        <w:t xml:space="preserve"> 256.46</w:t>
      </w:r>
      <w:r>
        <w:rPr>
          <w:rFonts w:hint="eastAsia" w:ascii="仿宋_GB2312" w:hAnsi="仿宋_GB2312" w:eastAsia="仿宋_GB2312" w:cs="仿宋_GB2312"/>
          <w:kern w:val="0"/>
          <w:sz w:val="32"/>
          <w:szCs w:val="32"/>
        </w:rPr>
        <w:t>万元、政府采购工程支出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万元、政府采购服务支出</w:t>
      </w:r>
      <w:r>
        <w:rPr>
          <w:rFonts w:hint="eastAsia" w:ascii="仿宋_GB2312" w:hAnsi="仿宋_GB2312" w:eastAsia="仿宋_GB2312" w:cs="仿宋_GB2312"/>
          <w:kern w:val="0"/>
          <w:sz w:val="32"/>
          <w:szCs w:val="32"/>
          <w:u w:val="single"/>
        </w:rPr>
        <w:t xml:space="preserve"> 122.72</w:t>
      </w:r>
      <w:r>
        <w:rPr>
          <w:rFonts w:hint="eastAsia" w:ascii="仿宋_GB2312" w:hAnsi="仿宋_GB2312" w:eastAsia="仿宋_GB2312" w:cs="仿宋_GB2312"/>
          <w:kern w:val="0"/>
          <w:sz w:val="32"/>
          <w:szCs w:val="32"/>
        </w:rPr>
        <w:t>万元。政府采购授予中小企业合同金额</w:t>
      </w:r>
      <w:r>
        <w:rPr>
          <w:rFonts w:hint="eastAsia" w:ascii="仿宋_GB2312" w:hAnsi="仿宋_GB2312" w:eastAsia="仿宋_GB2312" w:cs="仿宋_GB2312"/>
          <w:kern w:val="0"/>
          <w:sz w:val="32"/>
          <w:szCs w:val="32"/>
          <w:u w:val="single"/>
        </w:rPr>
        <w:t xml:space="preserve"> 368.80</w:t>
      </w:r>
      <w:r>
        <w:rPr>
          <w:rFonts w:hint="eastAsia" w:ascii="仿宋_GB2312" w:hAnsi="仿宋_GB2312" w:eastAsia="仿宋_GB2312" w:cs="仿宋_GB2312"/>
          <w:kern w:val="0"/>
          <w:sz w:val="32"/>
          <w:szCs w:val="32"/>
        </w:rPr>
        <w:t>万元，占政府采购支出总额的</w:t>
      </w:r>
      <w:r>
        <w:rPr>
          <w:rFonts w:hint="eastAsia" w:ascii="仿宋_GB2312" w:hAnsi="仿宋_GB2312" w:eastAsia="仿宋_GB2312" w:cs="仿宋_GB2312"/>
          <w:kern w:val="0"/>
          <w:sz w:val="32"/>
          <w:szCs w:val="32"/>
          <w:u w:val="single"/>
          <w:lang w:val="en-US" w:eastAsia="zh-CN"/>
        </w:rPr>
        <w:t>97.26</w:t>
      </w:r>
      <w:r>
        <w:rPr>
          <w:rFonts w:hint="eastAsia" w:ascii="仿宋_GB2312" w:hAnsi="仿宋_GB2312" w:eastAsia="仿宋_GB2312" w:cs="仿宋_GB2312"/>
          <w:kern w:val="0"/>
          <w:sz w:val="32"/>
          <w:szCs w:val="32"/>
        </w:rPr>
        <w:t>%，其中：授予小微企业合同金额</w:t>
      </w:r>
      <w:r>
        <w:rPr>
          <w:rFonts w:hint="eastAsia" w:ascii="仿宋_GB2312" w:hAnsi="仿宋_GB2312" w:eastAsia="仿宋_GB2312" w:cs="仿宋_GB2312"/>
          <w:kern w:val="0"/>
          <w:sz w:val="32"/>
          <w:szCs w:val="32"/>
          <w:u w:val="single"/>
        </w:rPr>
        <w:t>  368.16</w:t>
      </w:r>
      <w:r>
        <w:rPr>
          <w:rFonts w:hint="eastAsia" w:ascii="仿宋_GB2312" w:hAnsi="仿宋_GB2312" w:eastAsia="仿宋_GB2312" w:cs="仿宋_GB2312"/>
          <w:kern w:val="0"/>
          <w:sz w:val="32"/>
          <w:szCs w:val="32"/>
        </w:rPr>
        <w:t>万元，占政府采购支出总额的</w:t>
      </w:r>
      <w:r>
        <w:rPr>
          <w:rFonts w:hint="eastAsia" w:ascii="仿宋_GB2312" w:hAnsi="仿宋_GB2312" w:eastAsia="仿宋_GB2312" w:cs="仿宋_GB2312"/>
          <w:kern w:val="0"/>
          <w:sz w:val="32"/>
          <w:szCs w:val="32"/>
          <w:u w:val="single"/>
          <w:lang w:val="en-US" w:eastAsia="zh-CN"/>
        </w:rPr>
        <w:t>97.09</w:t>
      </w:r>
      <w:r>
        <w:rPr>
          <w:rFonts w:hint="eastAsia" w:ascii="仿宋_GB2312" w:hAnsi="仿宋_GB2312" w:eastAsia="仿宋_GB2312" w:cs="仿宋_GB2312"/>
          <w:kern w:val="0"/>
          <w:sz w:val="32"/>
          <w:szCs w:val="32"/>
        </w:rPr>
        <w:t>%；货物采购授予中小企业合同金额占货物支出金额的</w:t>
      </w:r>
      <w:r>
        <w:rPr>
          <w:rFonts w:hint="eastAsia" w:ascii="仿宋_GB2312" w:hAnsi="仿宋_GB2312" w:eastAsia="仿宋_GB2312" w:cs="仿宋_GB2312"/>
          <w:kern w:val="0"/>
          <w:sz w:val="32"/>
          <w:szCs w:val="32"/>
          <w:u w:val="single"/>
          <w:lang w:val="en-US" w:eastAsia="zh-CN"/>
        </w:rPr>
        <w:t>72.57</w:t>
      </w:r>
      <w:r>
        <w:rPr>
          <w:rFonts w:hint="eastAsia" w:ascii="仿宋_GB2312" w:hAnsi="仿宋_GB2312" w:eastAsia="仿宋_GB2312" w:cs="仿宋_GB2312"/>
          <w:kern w:val="0"/>
          <w:sz w:val="32"/>
          <w:szCs w:val="32"/>
        </w:rPr>
        <w:t>%，工程采购授予中小企业合同金额占工程支出金额的</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%，服务采购授予中小企业合同金额占服务支出金额的</w:t>
      </w:r>
      <w:r>
        <w:rPr>
          <w:rFonts w:hint="eastAsia" w:ascii="仿宋_GB2312" w:hAnsi="仿宋_GB2312" w:eastAsia="仿宋_GB2312" w:cs="仿宋_GB2312"/>
          <w:kern w:val="0"/>
          <w:sz w:val="32"/>
          <w:szCs w:val="32"/>
          <w:u w:val="single"/>
          <w:lang w:val="en-US" w:eastAsia="zh-CN"/>
        </w:rPr>
        <w:t>35.91</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hint="eastAsia" w:ascii="Calibri" w:hAnsi="Calibri" w:eastAsia="宋体" w:cs="Calibri"/>
          <w:b/>
          <w:bCs/>
          <w:kern w:val="0"/>
          <w:sz w:val="27"/>
          <w:szCs w:val="27"/>
          <w:lang w:val="en-US" w:eastAsia="zh-CN"/>
        </w:rPr>
        <w:t xml:space="preserve">    </w:t>
      </w:r>
      <w:r>
        <w:rPr>
          <w:rFonts w:ascii="黑体" w:hAnsi="黑体" w:eastAsia="黑体" w:cs="黑体"/>
          <w:b/>
          <w:bCs/>
          <w:kern w:val="0"/>
          <w:sz w:val="32"/>
          <w:szCs w:val="32"/>
        </w:rPr>
        <w:t>十三、国有资产占用情况说明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内蒙古自治区通辽市科学技术协会（部门） 截至2023年12月31日，本部门（单位）共有车辆</w:t>
      </w:r>
      <w:r>
        <w:rPr>
          <w:rFonts w:hint="eastAsia" w:ascii="仿宋_GB2312" w:hAnsi="仿宋_GB2312" w:eastAsia="仿宋_GB2312" w:cs="仿宋_GB2312"/>
          <w:kern w:val="0"/>
          <w:sz w:val="32"/>
          <w:szCs w:val="32"/>
          <w:u w:val="single"/>
        </w:rPr>
        <w:t xml:space="preserve"> 4</w:t>
      </w:r>
      <w:r>
        <w:rPr>
          <w:rFonts w:hint="eastAsia" w:ascii="仿宋_GB2312" w:hAnsi="仿宋_GB2312" w:eastAsia="仿宋_GB2312" w:cs="仿宋_GB2312"/>
          <w:kern w:val="0"/>
          <w:sz w:val="32"/>
          <w:szCs w:val="32"/>
        </w:rPr>
        <w:t>辆，其中：副部（省）级及以上领导用车</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辆、主要负责人用车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辆、机要通信用车</w:t>
      </w:r>
      <w:r>
        <w:rPr>
          <w:rFonts w:hint="eastAsia" w:ascii="仿宋_GB2312" w:hAnsi="仿宋_GB2312" w:eastAsia="仿宋_GB2312" w:cs="仿宋_GB2312"/>
          <w:kern w:val="0"/>
          <w:sz w:val="32"/>
          <w:szCs w:val="32"/>
          <w:u w:val="single"/>
        </w:rPr>
        <w:t xml:space="preserve"> 1</w:t>
      </w:r>
      <w:r>
        <w:rPr>
          <w:rFonts w:hint="eastAsia" w:ascii="仿宋_GB2312" w:hAnsi="仿宋_GB2312" w:eastAsia="仿宋_GB2312" w:cs="仿宋_GB2312"/>
          <w:kern w:val="0"/>
          <w:sz w:val="32"/>
          <w:szCs w:val="32"/>
        </w:rPr>
        <w:t>辆、应急保障用车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辆、执法执勤用车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辆、特种专业技术用车</w:t>
      </w:r>
      <w:r>
        <w:rPr>
          <w:rFonts w:hint="eastAsia" w:ascii="仿宋_GB2312" w:hAnsi="仿宋_GB2312" w:eastAsia="仿宋_GB2312" w:cs="仿宋_GB2312"/>
          <w:kern w:val="0"/>
          <w:sz w:val="32"/>
          <w:szCs w:val="32"/>
          <w:u w:val="single"/>
        </w:rPr>
        <w:t xml:space="preserve"> 3</w:t>
      </w:r>
      <w:r>
        <w:rPr>
          <w:rFonts w:hint="eastAsia" w:ascii="仿宋_GB2312" w:hAnsi="仿宋_GB2312" w:eastAsia="仿宋_GB2312" w:cs="仿宋_GB2312"/>
          <w:kern w:val="0"/>
          <w:sz w:val="32"/>
          <w:szCs w:val="32"/>
        </w:rPr>
        <w:t>辆、离退休干部服务用车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辆，其他用车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辆；单价100万元（含）以上的设备（不含车辆）</w:t>
      </w:r>
      <w:r>
        <w:rPr>
          <w:rFonts w:hint="eastAsia" w:ascii="仿宋_GB2312" w:hAnsi="仿宋_GB2312" w:eastAsia="仿宋_GB2312" w:cs="仿宋_GB2312"/>
          <w:kern w:val="0"/>
          <w:sz w:val="32"/>
          <w:szCs w:val="32"/>
          <w:u w:val="single"/>
        </w:rPr>
        <w:t xml:space="preserve"> 1</w:t>
      </w:r>
      <w:r>
        <w:rPr>
          <w:rFonts w:hint="eastAsia" w:ascii="仿宋_GB2312" w:hAnsi="仿宋_GB2312" w:eastAsia="仿宋_GB2312" w:cs="仿宋_GB2312"/>
          <w:kern w:val="0"/>
          <w:sz w:val="32"/>
          <w:szCs w:val="32"/>
        </w:rPr>
        <w:t>台（套）。</w:t>
      </w:r>
    </w:p>
    <w:p>
      <w:pPr>
        <w:widowControl/>
        <w:spacing w:before="240" w:after="240"/>
        <w:ind w:firstLine="643" w:firstLineChars="200"/>
        <w:jc w:val="left"/>
        <w:rPr>
          <w:rFonts w:ascii="黑体" w:hAnsi="黑体" w:eastAsia="黑体" w:cs="黑体"/>
          <w:b/>
          <w:bCs/>
          <w:kern w:val="0"/>
          <w:sz w:val="32"/>
          <w:szCs w:val="32"/>
        </w:rPr>
      </w:pPr>
      <w:r>
        <w:rPr>
          <w:rFonts w:ascii="黑体" w:hAnsi="黑体" w:eastAsia="黑体" w:cs="黑体"/>
          <w:b/>
          <w:bCs/>
          <w:kern w:val="0"/>
          <w:sz w:val="32"/>
          <w:szCs w:val="32"/>
        </w:rPr>
        <w:t>十四、预算绩效情况说明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w:t>
      </w:r>
      <w:r>
        <w:rPr>
          <w:rFonts w:hint="eastAsia" w:ascii="kai_ti_gb2312" w:hAnsi="kai_ti_gb2312" w:cs="kai_ti_gb2312"/>
          <w:b/>
          <w:bCs/>
          <w:kern w:val="0"/>
          <w:sz w:val="27"/>
          <w:szCs w:val="27"/>
          <w:lang w:val="en-US" w:eastAsia="zh-CN"/>
        </w:rPr>
        <w:t xml:space="preserve">  </w:t>
      </w:r>
      <w:r>
        <w:rPr>
          <w:rFonts w:hint="eastAsia" w:ascii="kai_ti_gb2312" w:hAnsi="kai_ti_gb2312" w:cs="kai_ti_gb2312"/>
          <w:b/>
          <w:bCs/>
          <w:kern w:val="0"/>
          <w:sz w:val="32"/>
          <w:szCs w:val="32"/>
          <w:lang w:val="en-US" w:eastAsia="zh-CN"/>
        </w:rPr>
        <w:t xml:space="preserve"> </w:t>
      </w:r>
      <w:r>
        <w:rPr>
          <w:rFonts w:ascii="kai_ti_gb2312" w:hAnsi="kai_ti_gb2312" w:eastAsia="kai_ti_gb2312" w:cs="kai_ti_gb2312"/>
          <w:b/>
          <w:bCs/>
          <w:kern w:val="0"/>
          <w:sz w:val="32"/>
          <w:szCs w:val="32"/>
        </w:rPr>
        <w:t>（一）预算绩效管理工作开展情况。</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内蒙古自治区通辽市科学技术协会（部门） 根据预算绩效管理要求组织对2023年一般公共预算项目支出全面开展绩效自评，其中一级项目</w:t>
      </w:r>
      <w:r>
        <w:rPr>
          <w:rFonts w:hint="eastAsia" w:ascii="仿宋_GB2312" w:hAnsi="仿宋_GB2312" w:eastAsia="仿宋_GB2312" w:cs="仿宋_GB2312"/>
          <w:kern w:val="0"/>
          <w:sz w:val="32"/>
          <w:szCs w:val="32"/>
          <w:u w:val="single"/>
          <w:lang w:val="en-US" w:eastAsia="zh-CN"/>
        </w:rPr>
        <w:t>15</w:t>
      </w:r>
      <w:r>
        <w:rPr>
          <w:rFonts w:hint="eastAsia" w:ascii="仿宋_GB2312" w:hAnsi="仿宋_GB2312" w:eastAsia="仿宋_GB2312" w:cs="仿宋_GB2312"/>
          <w:kern w:val="0"/>
          <w:sz w:val="32"/>
          <w:szCs w:val="32"/>
        </w:rPr>
        <w:t>个，二级项目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个，共涉及资金</w:t>
      </w:r>
      <w:r>
        <w:rPr>
          <w:rFonts w:hint="eastAsia" w:ascii="仿宋_GB2312" w:hAnsi="仿宋_GB2312" w:eastAsia="仿宋_GB2312" w:cs="仿宋_GB2312"/>
          <w:kern w:val="0"/>
          <w:sz w:val="32"/>
          <w:szCs w:val="32"/>
          <w:u w:val="single"/>
          <w:lang w:val="en-US" w:eastAsia="zh-CN"/>
        </w:rPr>
        <w:t>739.09</w:t>
      </w:r>
      <w:r>
        <w:rPr>
          <w:rFonts w:hint="eastAsia" w:ascii="仿宋_GB2312" w:hAnsi="仿宋_GB2312" w:eastAsia="仿宋_GB2312" w:cs="仿宋_GB2312"/>
          <w:kern w:val="0"/>
          <w:sz w:val="32"/>
          <w:szCs w:val="32"/>
        </w:rPr>
        <w:t>万元，占一般公共预算项目支出总额的100%；政府性基金预算项目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个，其中，一级项目</w:t>
      </w:r>
      <w:r>
        <w:rPr>
          <w:rFonts w:hint="eastAsia" w:ascii="仿宋_GB2312" w:hAnsi="仿宋_GB2312" w:eastAsia="仿宋_GB2312" w:cs="仿宋_GB2312"/>
          <w:kern w:val="0"/>
          <w:sz w:val="32"/>
          <w:szCs w:val="32"/>
          <w:u w:val="single"/>
        </w:rPr>
        <w:t> </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u w:val="single"/>
        </w:rPr>
        <w:t> </w:t>
      </w:r>
      <w:r>
        <w:rPr>
          <w:rFonts w:hint="eastAsia" w:ascii="仿宋_GB2312" w:hAnsi="仿宋_GB2312" w:eastAsia="仿宋_GB2312" w:cs="仿宋_GB2312"/>
          <w:kern w:val="0"/>
          <w:sz w:val="32"/>
          <w:szCs w:val="32"/>
        </w:rPr>
        <w:t>个，二级项目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个，共涉及资金</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万元，占应纳入绩效自评的政府性基金预算项目支出总额的100%。</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olor w:val="auto"/>
          <w:kern w:val="2"/>
          <w:sz w:val="32"/>
          <w:szCs w:val="24"/>
        </w:rPr>
        <w:t>组织对</w:t>
      </w:r>
      <w:r>
        <w:rPr>
          <w:rFonts w:hint="default" w:ascii="仿宋_GB2312" w:hAnsi="仿宋_GB2312" w:eastAsia="仿宋_GB2312"/>
          <w:color w:val="auto"/>
          <w:kern w:val="2"/>
          <w:sz w:val="32"/>
          <w:szCs w:val="24"/>
        </w:rPr>
        <w:t>“</w:t>
      </w:r>
      <w:r>
        <w:rPr>
          <w:rFonts w:hint="eastAsia" w:ascii="仿宋_GB2312" w:hAnsi="仿宋" w:eastAsia="仿宋_GB2312" w:cs="仿宋"/>
          <w:sz w:val="32"/>
          <w:szCs w:val="32"/>
          <w:lang w:val="en-US" w:eastAsia="zh-CN"/>
        </w:rPr>
        <w:t>老科协科普活动经费项目</w:t>
      </w:r>
      <w:r>
        <w:rPr>
          <w:rFonts w:hint="default" w:ascii="仿宋_GB2312" w:hAnsi="仿宋_GB2312" w:eastAsia="仿宋_GB2312"/>
          <w:color w:val="auto"/>
          <w:kern w:val="2"/>
          <w:sz w:val="32"/>
          <w:szCs w:val="24"/>
        </w:rPr>
        <w:t>”</w:t>
      </w:r>
      <w:r>
        <w:rPr>
          <w:rFonts w:hint="eastAsia" w:ascii="仿宋_GB2312" w:hAnsi="仿宋_GB2312" w:eastAsia="仿宋_GB2312"/>
          <w:color w:val="auto"/>
          <w:kern w:val="2"/>
          <w:sz w:val="32"/>
          <w:szCs w:val="24"/>
          <w:lang w:eastAsia="zh-CN"/>
        </w:rPr>
        <w:t>“</w:t>
      </w:r>
      <w:r>
        <w:rPr>
          <w:rFonts w:hint="eastAsia" w:ascii="仿宋_GB2312" w:hAnsi="仿宋_GB2312" w:eastAsia="仿宋_GB2312"/>
          <w:color w:val="auto"/>
          <w:kern w:val="2"/>
          <w:sz w:val="32"/>
          <w:szCs w:val="24"/>
          <w:lang w:val="en-US" w:eastAsia="zh-CN"/>
        </w:rPr>
        <w:t>提升重点人群科学素质项目</w:t>
      </w:r>
      <w:r>
        <w:rPr>
          <w:rFonts w:hint="eastAsia" w:ascii="仿宋_GB2312" w:hAnsi="仿宋_GB2312" w:eastAsia="仿宋_GB2312"/>
          <w:color w:val="auto"/>
          <w:kern w:val="2"/>
          <w:sz w:val="32"/>
          <w:szCs w:val="24"/>
          <w:lang w:eastAsia="zh-CN"/>
        </w:rPr>
        <w:t>”</w:t>
      </w:r>
      <w:r>
        <w:rPr>
          <w:rFonts w:hint="eastAsia" w:ascii="仿宋_GB2312" w:hAnsi="仿宋_GB2312" w:eastAsia="仿宋_GB2312"/>
          <w:color w:val="auto"/>
          <w:kern w:val="2"/>
          <w:sz w:val="32"/>
          <w:szCs w:val="24"/>
        </w:rPr>
        <w:t>等</w:t>
      </w:r>
      <w:r>
        <w:rPr>
          <w:rFonts w:hint="default" w:ascii="Times New Roman" w:hAnsi="Times New Roman" w:eastAsia="Times New Roman"/>
          <w:color w:val="auto"/>
          <w:kern w:val="2"/>
          <w:sz w:val="32"/>
          <w:szCs w:val="24"/>
          <w:u w:val="single"/>
        </w:rPr>
        <w:t xml:space="preserve"> </w:t>
      </w:r>
      <w:r>
        <w:rPr>
          <w:rFonts w:hint="eastAsia" w:ascii="Times New Roman" w:hAnsi="Times New Roman"/>
          <w:color w:val="auto"/>
          <w:kern w:val="2"/>
          <w:sz w:val="32"/>
          <w:szCs w:val="24"/>
          <w:u w:val="single"/>
          <w:lang w:val="en-US" w:eastAsia="zh-CN"/>
        </w:rPr>
        <w:t>2</w:t>
      </w:r>
      <w:r>
        <w:rPr>
          <w:rFonts w:hint="default" w:ascii="Times New Roman" w:hAnsi="Times New Roman" w:eastAsia="Times New Roman"/>
          <w:color w:val="auto"/>
          <w:kern w:val="2"/>
          <w:sz w:val="32"/>
          <w:szCs w:val="24"/>
          <w:u w:val="single"/>
        </w:rPr>
        <w:t xml:space="preserve">  </w:t>
      </w:r>
      <w:r>
        <w:rPr>
          <w:rFonts w:hint="eastAsia" w:ascii="仿宋_GB2312" w:hAnsi="仿宋_GB2312" w:eastAsia="仿宋_GB2312"/>
          <w:color w:val="auto"/>
          <w:kern w:val="2"/>
          <w:sz w:val="32"/>
          <w:szCs w:val="24"/>
        </w:rPr>
        <w:t>个项目开展了部门评价，涉及一般公共预算支出</w:t>
      </w:r>
      <w:r>
        <w:rPr>
          <w:rFonts w:hint="eastAsia" w:ascii="Times New Roman" w:hAnsi="Times New Roman" w:eastAsia="宋体"/>
          <w:color w:val="auto"/>
          <w:kern w:val="2"/>
          <w:sz w:val="32"/>
          <w:szCs w:val="24"/>
          <w:u w:val="single"/>
          <w:lang w:val="en-US" w:eastAsia="zh-CN"/>
        </w:rPr>
        <w:t>54.8</w:t>
      </w:r>
      <w:r>
        <w:rPr>
          <w:rFonts w:hint="eastAsia" w:ascii="仿宋_GB2312" w:hAnsi="仿宋_GB2312" w:eastAsia="仿宋_GB2312"/>
          <w:color w:val="auto"/>
          <w:kern w:val="2"/>
          <w:sz w:val="32"/>
          <w:szCs w:val="24"/>
        </w:rPr>
        <w:t>万元，政府性基金支出</w:t>
      </w:r>
      <w:r>
        <w:rPr>
          <w:rFonts w:hint="default" w:ascii="Times New Roman" w:hAnsi="Times New Roman" w:eastAsia="Times New Roman"/>
          <w:color w:val="auto"/>
          <w:kern w:val="2"/>
          <w:sz w:val="32"/>
          <w:szCs w:val="24"/>
          <w:u w:val="single"/>
        </w:rPr>
        <w:t xml:space="preserve"> </w:t>
      </w:r>
      <w:r>
        <w:rPr>
          <w:rFonts w:hint="eastAsia" w:ascii="Times New Roman" w:hAnsi="Times New Roman" w:eastAsia="宋体"/>
          <w:color w:val="auto"/>
          <w:kern w:val="2"/>
          <w:sz w:val="32"/>
          <w:szCs w:val="24"/>
          <w:u w:val="single"/>
          <w:lang w:val="en-US" w:eastAsia="zh-CN"/>
        </w:rPr>
        <w:t>0</w:t>
      </w:r>
      <w:r>
        <w:rPr>
          <w:rFonts w:hint="default" w:ascii="Times New Roman" w:hAnsi="Times New Roman" w:eastAsia="Times New Roman"/>
          <w:color w:val="auto"/>
          <w:kern w:val="2"/>
          <w:sz w:val="32"/>
          <w:szCs w:val="24"/>
          <w:u w:val="single"/>
        </w:rPr>
        <w:t xml:space="preserve"> </w:t>
      </w:r>
      <w:r>
        <w:rPr>
          <w:rFonts w:hint="eastAsia" w:ascii="仿宋_GB2312" w:hAnsi="仿宋_GB2312" w:eastAsia="仿宋_GB2312"/>
          <w:color w:val="auto"/>
          <w:kern w:val="2"/>
          <w:sz w:val="32"/>
          <w:szCs w:val="24"/>
        </w:rPr>
        <w:t>万元。从评价情况看，以上项目</w:t>
      </w:r>
      <w:r>
        <w:rPr>
          <w:rFonts w:hint="eastAsia" w:ascii="仿宋_GB2312" w:hAnsi="仿宋_GB2312" w:eastAsia="仿宋_GB2312"/>
          <w:color w:val="auto"/>
          <w:sz w:val="32"/>
          <w:szCs w:val="24"/>
          <w:lang w:val="en-US" w:eastAsia="zh-CN"/>
        </w:rPr>
        <w:t>绩效评价得分为100分，综合绩效级别为“优”</w:t>
      </w:r>
      <w:r>
        <w:rPr>
          <w:rFonts w:hint="eastAsia" w:ascii="仿宋_GB2312" w:hAnsi="仿宋_GB2312" w:eastAsia="仿宋_GB2312"/>
          <w:color w:val="auto"/>
          <w:kern w:val="2"/>
          <w:sz w:val="32"/>
          <w:szCs w:val="24"/>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（二）部门决算中项目绩效自评结果。</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kern w:val="0"/>
          <w:sz w:val="27"/>
          <w:szCs w:val="27"/>
        </w:rPr>
        <w:t>   </w:t>
      </w:r>
      <w:r>
        <w:rPr>
          <w:rFonts w:hint="eastAsia" w:ascii="仿宋_GB2312" w:hAnsi="仿宋_GB2312" w:eastAsia="仿宋_GB2312" w:cs="仿宋_GB2312"/>
          <w:kern w:val="0"/>
          <w:sz w:val="32"/>
          <w:szCs w:val="32"/>
        </w:rPr>
        <w:t xml:space="preserve"> 内蒙古自治区通辽市科学技术协会（部门） 2023年度在决算中反映</w:t>
      </w:r>
      <w:r>
        <w:rPr>
          <w:rFonts w:hint="eastAsia" w:ascii="仿宋_GB2312" w:hAnsi="仿宋_GB2312" w:eastAsia="仿宋_GB2312" w:cs="仿宋_GB2312"/>
          <w:kern w:val="0"/>
          <w:sz w:val="32"/>
          <w:szCs w:val="32"/>
          <w:u w:val="single"/>
          <w:lang w:val="en-US" w:eastAsia="zh-CN"/>
        </w:rPr>
        <w:t>15</w:t>
      </w:r>
      <w:r>
        <w:rPr>
          <w:rFonts w:hint="eastAsia" w:ascii="仿宋_GB2312" w:hAnsi="仿宋_GB2312" w:eastAsia="仿宋_GB2312" w:cs="仿宋_GB2312"/>
          <w:kern w:val="0"/>
          <w:sz w:val="32"/>
          <w:szCs w:val="32"/>
        </w:rPr>
        <w:t>个一般公共预算项目，以及</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个政府性基金项目</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共</w:t>
      </w:r>
      <w:r>
        <w:rPr>
          <w:rFonts w:hint="eastAsia" w:ascii="仿宋_GB2312" w:hAnsi="仿宋_GB2312" w:eastAsia="仿宋_GB2312" w:cs="仿宋_GB2312"/>
          <w:kern w:val="0"/>
          <w:sz w:val="32"/>
          <w:szCs w:val="32"/>
          <w:u w:val="single"/>
          <w:lang w:val="en-US" w:eastAsia="zh-CN"/>
        </w:rPr>
        <w:t>15</w:t>
      </w:r>
      <w:r>
        <w:rPr>
          <w:rFonts w:hint="eastAsia" w:ascii="仿宋_GB2312" w:hAnsi="仿宋_GB2312" w:eastAsia="仿宋_GB2312" w:cs="仿宋_GB2312"/>
          <w:kern w:val="0"/>
          <w:sz w:val="32"/>
          <w:szCs w:val="32"/>
        </w:rPr>
        <w:t>个项目的绩效自评结果。</w:t>
      </w:r>
    </w:p>
    <w:p>
      <w:pPr>
        <w:widowControl/>
        <w:spacing w:before="240" w:after="240"/>
        <w:rPr>
          <w:rFonts w:hint="eastAsia" w:ascii="仿宋_GB2312" w:hAnsi="仿宋_GB2312" w:eastAsia="仿宋_GB2312" w:cs="Times New Roman"/>
          <w:color w:val="auto"/>
          <w:kern w:val="2"/>
          <w:sz w:val="32"/>
          <w:szCs w:val="24"/>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27"/>
          <w:szCs w:val="27"/>
        </w:rPr>
        <w:t xml:space="preserve">  </w:t>
      </w:r>
      <w:r>
        <w:rPr>
          <w:rFonts w:hint="eastAsia" w:ascii="仿宋_GB2312" w:hAnsi="仿宋_GB2312" w:eastAsia="仿宋_GB2312" w:cs="Times New Roman"/>
          <w:color w:val="auto"/>
          <w:kern w:val="2"/>
          <w:sz w:val="32"/>
          <w:szCs w:val="24"/>
        </w:rPr>
        <w:t>1.</w:t>
      </w:r>
      <w:r>
        <w:rPr>
          <w:rFonts w:hint="eastAsia" w:ascii="仿宋_GB2312" w:hAnsi="仿宋_GB2312" w:eastAsia="仿宋_GB2312" w:cs="Times New Roman"/>
          <w:color w:val="auto"/>
          <w:kern w:val="2"/>
          <w:sz w:val="32"/>
          <w:szCs w:val="24"/>
          <w:lang w:val="en-US" w:eastAsia="zh-CN"/>
        </w:rPr>
        <w:t>科普行动计划工作经费</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95.99</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102</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101.94</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99.94</w:t>
      </w:r>
      <w:r>
        <w:rPr>
          <w:rFonts w:hint="eastAsia" w:ascii="仿宋_GB2312" w:hAnsi="仿宋_GB2312" w:eastAsia="仿宋_GB2312" w:cs="Times New Roman"/>
          <w:color w:val="auto"/>
          <w:kern w:val="2"/>
          <w:sz w:val="32"/>
          <w:szCs w:val="24"/>
        </w:rPr>
        <w:t>%。项目绩效目标完成情况：各类主题品牌科普活动6场；支持科技小院建设3次；科普大篷车巡回展览125场次；参加和举办科普大赛和会议4次；年度计划完成及时率100%；年度项目成本101.94万元。发现的主要问题及原因：年初</w:t>
      </w:r>
      <w:r>
        <w:rPr>
          <w:rFonts w:hint="eastAsia" w:ascii="仿宋_GB2312" w:hAnsi="仿宋_GB2312" w:eastAsia="仿宋_GB2312" w:cs="Times New Roman"/>
          <w:color w:val="auto"/>
          <w:kern w:val="2"/>
          <w:sz w:val="32"/>
          <w:szCs w:val="24"/>
          <w:lang w:val="en-US" w:eastAsia="zh-CN"/>
        </w:rPr>
        <w:t>个别</w:t>
      </w:r>
      <w:r>
        <w:rPr>
          <w:rFonts w:hint="eastAsia" w:ascii="仿宋_GB2312" w:hAnsi="仿宋_GB2312" w:eastAsia="仿宋_GB2312" w:cs="Times New Roman"/>
          <w:color w:val="auto"/>
          <w:kern w:val="2"/>
          <w:sz w:val="32"/>
          <w:szCs w:val="24"/>
        </w:rPr>
        <w:t>指标制定有偏差，导致实际完成值超过指标值。下一步改进措施：下年项目支出前会充分做好工作安排，科学研究制定年度指标值。</w:t>
      </w:r>
    </w:p>
    <w:p>
      <w:pPr>
        <w:widowControl/>
        <w:spacing w:before="240" w:after="240"/>
        <w:rPr>
          <w:rFonts w:hint="eastAsia" w:ascii="仿宋_GB2312" w:hAnsi="仿宋_GB2312" w:eastAsia="仿宋_GB2312" w:cs="Times New Roman"/>
          <w:color w:val="auto"/>
          <w:kern w:val="2"/>
          <w:sz w:val="32"/>
          <w:szCs w:val="24"/>
          <w:lang w:eastAsia="zh-CN"/>
        </w:rPr>
      </w:pPr>
      <w:r>
        <w:rPr>
          <w:rFonts w:hint="eastAsia" w:ascii="仿宋_GB2312" w:hAnsi="仿宋_GB2312" w:eastAsia="仿宋_GB2312" w:cs="Times New Roman"/>
          <w:color w:val="auto"/>
          <w:kern w:val="2"/>
          <w:sz w:val="32"/>
          <w:szCs w:val="24"/>
        </w:rPr>
        <w:t>    2.</w:t>
      </w:r>
      <w:r>
        <w:rPr>
          <w:rFonts w:hint="eastAsia" w:ascii="仿宋_GB2312" w:hAnsi="仿宋_GB2312" w:eastAsia="仿宋_GB2312" w:cs="Times New Roman"/>
          <w:color w:val="auto"/>
          <w:kern w:val="2"/>
          <w:sz w:val="32"/>
          <w:szCs w:val="24"/>
          <w:lang w:val="en-US" w:eastAsia="zh-CN"/>
        </w:rPr>
        <w:t>科普队伍建设资助</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99.98</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6</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5.99</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99.83</w:t>
      </w:r>
      <w:r>
        <w:rPr>
          <w:rFonts w:hint="eastAsia" w:ascii="仿宋_GB2312" w:hAnsi="仿宋_GB2312" w:eastAsia="仿宋_GB2312" w:cs="Times New Roman"/>
          <w:color w:val="auto"/>
          <w:kern w:val="2"/>
          <w:sz w:val="32"/>
          <w:szCs w:val="24"/>
        </w:rPr>
        <w:t>%。项目绩效目标完成情况：全市科普信息员、科技志愿者培训5230人次；开展科普宣传活动和科技志愿服务活动60次；年度工作完成及时率100%；年度总成本5.99万元。发现的主要问题及原因：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eastAsia="zh-CN"/>
        </w:rPr>
      </w:pPr>
      <w:r>
        <w:rPr>
          <w:rFonts w:hint="eastAsia" w:ascii="仿宋_GB2312" w:hAnsi="仿宋_GB2312" w:eastAsia="仿宋_GB2312" w:cs="Times New Roman"/>
          <w:color w:val="auto"/>
          <w:kern w:val="2"/>
          <w:sz w:val="32"/>
          <w:szCs w:val="24"/>
          <w:lang w:val="en-US" w:eastAsia="zh-CN"/>
        </w:rPr>
        <w:t>3</w:t>
      </w:r>
      <w:r>
        <w:rPr>
          <w:rFonts w:hint="eastAsia" w:ascii="仿宋_GB2312" w:hAnsi="仿宋_GB2312" w:eastAsia="仿宋_GB2312" w:cs="Times New Roman"/>
          <w:color w:val="auto"/>
          <w:kern w:val="2"/>
          <w:sz w:val="32"/>
          <w:szCs w:val="24"/>
        </w:rPr>
        <w:t>.</w:t>
      </w:r>
      <w:r>
        <w:rPr>
          <w:rFonts w:hint="eastAsia" w:ascii="仿宋_GB2312" w:hAnsi="仿宋_GB2312" w:eastAsia="仿宋_GB2312" w:cs="Times New Roman"/>
          <w:color w:val="auto"/>
          <w:kern w:val="2"/>
          <w:sz w:val="32"/>
          <w:szCs w:val="24"/>
          <w:lang w:val="en-US" w:eastAsia="zh-CN"/>
        </w:rPr>
        <w:t>科普信息化建设</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98.5</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15</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14.9</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99.33</w:t>
      </w:r>
      <w:r>
        <w:rPr>
          <w:rFonts w:hint="eastAsia" w:ascii="仿宋_GB2312" w:hAnsi="仿宋_GB2312" w:eastAsia="仿宋_GB2312" w:cs="Times New Roman"/>
          <w:color w:val="auto"/>
          <w:kern w:val="2"/>
          <w:sz w:val="32"/>
          <w:szCs w:val="24"/>
        </w:rPr>
        <w:t>%。项目绩效目标完成情况：与《通辽日报》合作发布“科普通辽”专栏456期；设计科普宣传形象物1个；制作原创科普宣传微动漫5部；制作原创科普宣传微动漫完成及时率100%；项目总成本14.9万元。发现的主要问题及原因：</w:t>
      </w:r>
      <w:r>
        <w:rPr>
          <w:rFonts w:hint="eastAsia" w:ascii="仿宋_GB2312" w:hAnsi="仿宋_GB2312" w:eastAsia="仿宋_GB2312" w:cs="Times New Roman"/>
          <w:color w:val="auto"/>
          <w:kern w:val="2"/>
          <w:sz w:val="32"/>
          <w:szCs w:val="24"/>
          <w:lang w:val="en-US" w:eastAsia="zh-CN"/>
        </w:rPr>
        <w:t>项目初期实施计划不够细致。</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今后将继续完善项目立项计划，科学制定各项成本指标。</w:t>
      </w:r>
    </w:p>
    <w:p>
      <w:pPr>
        <w:widowControl/>
        <w:spacing w:before="240" w:after="240"/>
        <w:rPr>
          <w:rFonts w:hint="default"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 xml:space="preserve">    4.提升重点人群科学素质</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32</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32</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%。项目绩效目标完成情况：农村牧区和社区科普知识及实用技术培训179次；社区居民和产业工人等科普讲座及义诊活动35次；领导干部科学素质提升活动8次；年度项目总成本32万元。发现的主要问题及原因：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5.新时代文明实践中心科技志愿服务行动试点</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16</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16</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%。项目绩效目标完成情况：打造新时代文明实践中心科技志愿服务点1个；开展新时代文明实践中心科技志愿服务活动120场；年度工作计划完成及时率100%；年度总成本16万元。发现的主要问题及原因：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6.老科协科普活动经费</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22.8</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22.8</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%。项目绩效目标完成情况：农村牧区科普培训10场次；社区科普大学培训20场次；小科技园项目示范试种1000亩；老科协常务人员5人；年度工作计划完成率100%；年度总成本22.8万元。发现的主要问题及原因：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7.2023年科普报刊村村通</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13</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13</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%。项目绩效目标完成情况：订阅内蒙古科技报96960份；订阅身边科学蒙文版4128份；报刊订阅完成及时率100%；项目总成本12.9984元。发现的主要问题及原因：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8.青少年科技创新后备人才培养试点项目</w:t>
      </w:r>
      <w:r>
        <w:rPr>
          <w:rFonts w:hint="eastAsia" w:ascii="仿宋_GB2312" w:hAnsi="仿宋_GB2312" w:eastAsia="仿宋_GB2312" w:cs="Times New Roman"/>
          <w:color w:val="auto"/>
          <w:kern w:val="2"/>
          <w:sz w:val="32"/>
          <w:szCs w:val="24"/>
        </w:rPr>
        <w:t>自评综述：根据年初设定的绩效目标，项目自评得分</w:t>
      </w:r>
      <w:r>
        <w:rPr>
          <w:rFonts w:hint="eastAsia" w:ascii="仿宋_GB2312" w:hAnsi="仿宋_GB2312" w:eastAsia="仿宋_GB2312" w:cs="Times New Roman"/>
          <w:color w:val="auto"/>
          <w:kern w:val="2"/>
          <w:sz w:val="32"/>
          <w:szCs w:val="24"/>
          <w:lang w:val="en-US" w:eastAsia="zh-CN"/>
        </w:rPr>
        <w:t>99.86</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85</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83.8</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98.59</w:t>
      </w:r>
      <w:r>
        <w:rPr>
          <w:rFonts w:hint="eastAsia" w:ascii="仿宋_GB2312" w:hAnsi="仿宋_GB2312" w:eastAsia="仿宋_GB2312" w:cs="Times New Roman"/>
          <w:color w:val="auto"/>
          <w:kern w:val="2"/>
          <w:sz w:val="32"/>
          <w:szCs w:val="24"/>
        </w:rPr>
        <w:t>%。项目绩效目标完成情况：打造校园科技馆2个；培养青少年科技创新后备人才25人；年度工作完成及时率100%；年度总成本83.8万元。发现的主要问题及原因：</w:t>
      </w:r>
      <w:r>
        <w:rPr>
          <w:rFonts w:hint="eastAsia" w:ascii="仿宋_GB2312" w:hAnsi="仿宋_GB2312" w:eastAsia="仿宋_GB2312" w:cs="Times New Roman"/>
          <w:color w:val="auto"/>
          <w:kern w:val="2"/>
          <w:sz w:val="32"/>
          <w:szCs w:val="24"/>
          <w:lang w:val="en-US" w:eastAsia="zh-CN"/>
        </w:rPr>
        <w:t>项目尚未开展完毕，将于2024年继续按照项目书实施。</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下一步继续按照工作安排稳步推进。</w:t>
      </w:r>
    </w:p>
    <w:p>
      <w:pPr>
        <w:widowControl/>
        <w:spacing w:before="240" w:after="240"/>
        <w:ind w:firstLine="640" w:firstLineChars="200"/>
        <w:rPr>
          <w:rFonts w:hint="eastAsia" w:ascii="仿宋_GB2312" w:hAnsi="仿宋_GB2312" w:eastAsia="仿宋_GB2312" w:cs="Times New Roman"/>
          <w:color w:val="auto"/>
          <w:kern w:val="2"/>
          <w:sz w:val="32"/>
          <w:szCs w:val="24"/>
        </w:rPr>
      </w:pPr>
      <w:r>
        <w:rPr>
          <w:rFonts w:hint="eastAsia" w:ascii="仿宋_GB2312" w:hAnsi="仿宋_GB2312" w:eastAsia="仿宋_GB2312" w:cs="Times New Roman"/>
          <w:color w:val="auto"/>
          <w:kern w:val="2"/>
          <w:sz w:val="32"/>
          <w:szCs w:val="24"/>
          <w:lang w:val="en-US" w:eastAsia="zh-CN"/>
        </w:rPr>
        <w:t>9.全区农村牧区科普工作研讨班项目</w:t>
      </w:r>
      <w:r>
        <w:rPr>
          <w:rFonts w:hint="eastAsia" w:ascii="仿宋_GB2312" w:hAnsi="仿宋_GB2312" w:eastAsia="仿宋_GB2312" w:cs="Times New Roman"/>
          <w:color w:val="auto"/>
          <w:kern w:val="2"/>
          <w:sz w:val="32"/>
          <w:szCs w:val="24"/>
        </w:rPr>
        <w:t>自评综述：根据年初设定的绩效目标，项目自评得分</w:t>
      </w:r>
      <w:r>
        <w:rPr>
          <w:rFonts w:hint="eastAsia" w:ascii="仿宋_GB2312" w:hAnsi="仿宋_GB2312" w:eastAsia="仿宋_GB2312" w:cs="Times New Roman"/>
          <w:color w:val="auto"/>
          <w:kern w:val="2"/>
          <w:sz w:val="32"/>
          <w:szCs w:val="24"/>
          <w:lang w:val="en-US" w:eastAsia="zh-CN"/>
        </w:rPr>
        <w:t>98.81</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25</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22.02</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88.08</w:t>
      </w:r>
      <w:r>
        <w:rPr>
          <w:rFonts w:hint="eastAsia" w:ascii="仿宋_GB2312" w:hAnsi="仿宋_GB2312" w:eastAsia="仿宋_GB2312" w:cs="Times New Roman"/>
          <w:color w:val="auto"/>
          <w:kern w:val="2"/>
          <w:sz w:val="32"/>
          <w:szCs w:val="24"/>
        </w:rPr>
        <w:t>%。项目绩效目标完成情况：组织全区农村牧区科普工作研讨班1次；实地观摩和农牧业实用技术培训1次；培训3天；参加 培训153人；聘请专家3人；租赁车辆4辆；年度工作计划完成及时率100%；年度项目总成本22.02万元。发现的主要问题及原因：</w:t>
      </w:r>
      <w:r>
        <w:rPr>
          <w:rFonts w:hint="eastAsia" w:ascii="仿宋_GB2312" w:hAnsi="仿宋_GB2312" w:eastAsia="仿宋_GB2312" w:cs="Times New Roman"/>
          <w:color w:val="auto"/>
          <w:kern w:val="2"/>
          <w:sz w:val="32"/>
          <w:szCs w:val="24"/>
          <w:lang w:val="en-US" w:eastAsia="zh-CN"/>
        </w:rPr>
        <w:t>项目计划初期考虑不够周全，导致项目实际支出成本与工作计划有偏差</w:t>
      </w:r>
      <w:r>
        <w:rPr>
          <w:rFonts w:hint="eastAsia" w:ascii="仿宋_GB2312" w:hAnsi="仿宋_GB2312" w:eastAsia="仿宋_GB2312" w:cs="Times New Roman"/>
          <w:color w:val="auto"/>
          <w:kern w:val="2"/>
          <w:sz w:val="32"/>
          <w:szCs w:val="24"/>
        </w:rPr>
        <w:t>。下一步改进措施：下年项目支出前会充分做好工作安排。</w:t>
      </w:r>
    </w:p>
    <w:p>
      <w:pPr>
        <w:widowControl/>
        <w:spacing w:before="240" w:after="240"/>
        <w:ind w:firstLine="640" w:firstLineChars="200"/>
        <w:rPr>
          <w:rFonts w:hint="eastAsia" w:ascii="仿宋_GB2312" w:hAnsi="仿宋_GB2312" w:eastAsia="仿宋_GB2312" w:cs="Times New Roman"/>
          <w:color w:val="auto"/>
          <w:kern w:val="2"/>
          <w:sz w:val="32"/>
          <w:szCs w:val="24"/>
        </w:rPr>
      </w:pPr>
      <w:r>
        <w:rPr>
          <w:rFonts w:hint="eastAsia" w:ascii="仿宋_GB2312" w:hAnsi="仿宋_GB2312" w:eastAsia="仿宋_GB2312" w:cs="Times New Roman"/>
          <w:color w:val="auto"/>
          <w:kern w:val="2"/>
          <w:sz w:val="32"/>
          <w:szCs w:val="24"/>
          <w:lang w:val="en-US" w:eastAsia="zh-CN"/>
        </w:rPr>
        <w:t>10.生态环境保护与发展国际学术会议暨海外人才科技交流活动项目</w:t>
      </w:r>
      <w:r>
        <w:rPr>
          <w:rFonts w:hint="eastAsia" w:ascii="仿宋_GB2312" w:hAnsi="仿宋_GB2312" w:eastAsia="仿宋_GB2312" w:cs="Times New Roman"/>
          <w:color w:val="auto"/>
          <w:kern w:val="2"/>
          <w:sz w:val="32"/>
          <w:szCs w:val="24"/>
        </w:rPr>
        <w:t>自评综述：根据年初设定的绩效目标，项目自评得分</w:t>
      </w:r>
      <w:r>
        <w:rPr>
          <w:rFonts w:hint="eastAsia" w:ascii="仿宋_GB2312" w:hAnsi="仿宋_GB2312" w:eastAsia="仿宋_GB2312" w:cs="Times New Roman"/>
          <w:color w:val="auto"/>
          <w:kern w:val="2"/>
          <w:sz w:val="32"/>
          <w:szCs w:val="24"/>
          <w:lang w:val="en-US" w:eastAsia="zh-CN"/>
        </w:rPr>
        <w:t>98.75</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15</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13.13</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87.53</w:t>
      </w:r>
      <w:r>
        <w:rPr>
          <w:rFonts w:hint="eastAsia" w:ascii="仿宋_GB2312" w:hAnsi="仿宋_GB2312" w:eastAsia="仿宋_GB2312" w:cs="Times New Roman"/>
          <w:color w:val="auto"/>
          <w:kern w:val="2"/>
          <w:sz w:val="32"/>
          <w:szCs w:val="24"/>
        </w:rPr>
        <w:t>%。项目绩效目标完成情况：参会科技工作者人数200人；组织海外人才科技交流活动1次；聘请专家6人；海外人才科技交流活动2天；学术会议1天；年度项目总成本13.13万元。发现的主要问题及原因：</w:t>
      </w:r>
      <w:r>
        <w:rPr>
          <w:rFonts w:hint="eastAsia" w:ascii="仿宋_GB2312" w:hAnsi="仿宋_GB2312" w:eastAsia="仿宋_GB2312" w:cs="Times New Roman"/>
          <w:color w:val="auto"/>
          <w:kern w:val="2"/>
          <w:sz w:val="32"/>
          <w:szCs w:val="24"/>
          <w:lang w:val="en-US" w:eastAsia="zh-CN"/>
        </w:rPr>
        <w:t>项目计划初期考虑不够周全，导致项目实际支出成本与工作计划有偏差</w:t>
      </w:r>
      <w:r>
        <w:rPr>
          <w:rFonts w:hint="eastAsia" w:ascii="仿宋_GB2312" w:hAnsi="仿宋_GB2312" w:eastAsia="仿宋_GB2312" w:cs="Times New Roman"/>
          <w:color w:val="auto"/>
          <w:kern w:val="2"/>
          <w:sz w:val="32"/>
          <w:szCs w:val="24"/>
        </w:rPr>
        <w:t>。下一步改进措施：下年项目支出前会充分做好工作安排。</w:t>
      </w:r>
    </w:p>
    <w:p>
      <w:pPr>
        <w:spacing w:before="189" w:line="360" w:lineRule="auto"/>
        <w:ind w:firstLine="577"/>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lang w:eastAsia="zh-CN"/>
        </w:rPr>
        <w:t>1.</w:t>
      </w:r>
      <w:r>
        <w:rPr>
          <w:rFonts w:hint="eastAsia" w:ascii="仿宋_GB2312" w:hAnsi="仿宋_GB2312" w:eastAsia="仿宋_GB2312" w:cs="仿宋_GB2312"/>
          <w:kern w:val="0"/>
          <w:sz w:val="32"/>
          <w:szCs w:val="32"/>
          <w:lang w:val="en-US" w:eastAsia="zh-CN"/>
        </w:rPr>
        <w:t>科普活动经费</w:t>
      </w:r>
      <w:r>
        <w:rPr>
          <w:rFonts w:hint="eastAsia" w:ascii="仿宋_GB2312" w:hAnsi="仿宋_GB2312" w:eastAsia="仿宋_GB2312" w:cs="仿宋_GB2312"/>
          <w:kern w:val="0"/>
          <w:sz w:val="32"/>
          <w:szCs w:val="32"/>
          <w:lang w:eastAsia="zh-CN"/>
        </w:rPr>
        <w:t>项目自评综述：根据年初设定的绩效目标，项目自评得分</w:t>
      </w:r>
      <w:r>
        <w:rPr>
          <w:rFonts w:hint="eastAsia" w:ascii="仿宋_GB2312" w:hAnsi="仿宋_GB2312" w:eastAsia="仿宋_GB2312" w:cs="仿宋_GB2312"/>
          <w:kern w:val="0"/>
          <w:sz w:val="32"/>
          <w:szCs w:val="32"/>
          <w:u w:val="single"/>
          <w:lang w:val="en-US" w:eastAsia="zh-CN"/>
        </w:rPr>
        <w:t>94.04</w:t>
      </w:r>
      <w:r>
        <w:rPr>
          <w:rFonts w:hint="eastAsia" w:ascii="仿宋_GB2312" w:hAnsi="仿宋_GB2312" w:eastAsia="仿宋_GB2312" w:cs="仿宋_GB2312"/>
          <w:kern w:val="0"/>
          <w:sz w:val="32"/>
          <w:szCs w:val="32"/>
        </w:rPr>
        <w:t>分。</w:t>
      </w:r>
      <w:r>
        <w:rPr>
          <w:rFonts w:hint="eastAsia" w:ascii="仿宋_GB2312" w:hAnsi="仿宋_GB2312" w:eastAsia="仿宋_GB2312" w:cs="仿宋_GB2312"/>
          <w:kern w:val="0"/>
          <w:sz w:val="32"/>
          <w:szCs w:val="32"/>
          <w:lang w:val="en-US" w:eastAsia="zh-CN"/>
        </w:rPr>
        <w:t>全年预算数为</w:t>
      </w:r>
      <w:r>
        <w:rPr>
          <w:rFonts w:hint="eastAsia" w:ascii="仿宋_GB2312" w:hAnsi="仿宋_GB2312" w:eastAsia="仿宋_GB2312" w:cs="仿宋_GB2312"/>
          <w:kern w:val="0"/>
          <w:sz w:val="32"/>
          <w:szCs w:val="32"/>
          <w:u w:val="single"/>
          <w:lang w:val="en-US" w:eastAsia="zh-CN"/>
        </w:rPr>
        <w:t>48</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48</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项目绩效目标完成情况：项目绩效目标完成情况：展厅展览教育活动达到239天；科普宣传活动完成125次；馆校结合活动完成28次；采购设备4台套；完成项目成本共计48万元（科普工作活动成本28.79万元、设备采购成本19.21万元）。发现的主要问题及原因：一是项目立项、实施存在问题；二是部分宣传设备陈旧，得不到及时修复，展品发挥不了效用。下一步改进措施：需要整合展品资源，培养专业人才，加强运行保障队伍建设。整合资源，聚焦活动，强化社会科普责任。一是根据学校课后服务需求，聘请科技专家开展科普大讲堂活动，二是与相关部门联合开展科普大篷车巡展活动，传播科学家精神。</w:t>
      </w:r>
    </w:p>
    <w:p>
      <w:pPr>
        <w:numPr>
          <w:ilvl w:val="0"/>
          <w:numId w:val="0"/>
        </w:numPr>
        <w:spacing w:line="24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12.盟市科技馆展教展品资源建设项目自评综述：</w:t>
      </w:r>
      <w:r>
        <w:rPr>
          <w:rFonts w:hint="eastAsia" w:ascii="仿宋_GB2312" w:hAnsi="仿宋_GB2312" w:eastAsia="仿宋_GB2312" w:cs="仿宋_GB2312"/>
          <w:kern w:val="0"/>
          <w:sz w:val="32"/>
          <w:szCs w:val="32"/>
        </w:rPr>
        <w:t>根据年初设定的绩效目标，项目自评得分</w:t>
      </w:r>
      <w:r>
        <w:rPr>
          <w:rFonts w:hint="eastAsia" w:ascii="仿宋_GB2312" w:hAnsi="仿宋_GB2312" w:eastAsia="仿宋_GB2312" w:cs="仿宋_GB2312"/>
          <w:kern w:val="0"/>
          <w:sz w:val="32"/>
          <w:szCs w:val="32"/>
          <w:u w:val="single"/>
          <w:lang w:val="en-US" w:eastAsia="zh-CN"/>
        </w:rPr>
        <w:t>95.41</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75</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75</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%。项目绩效目标完成情况：完成信息技术展厅接待公众4116人次</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开展科普教育实践活动19次</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信息技术展厅展品采购3套</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完成项目成本75万元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社会效益和满意度指标有待提高。发现的主要问题及原因：</w:t>
      </w:r>
      <w:r>
        <w:rPr>
          <w:rFonts w:hint="eastAsia" w:ascii="仿宋_GB2312" w:hAnsi="仿宋_GB2312" w:eastAsia="仿宋_GB2312" w:cs="仿宋_GB2312"/>
          <w:kern w:val="0"/>
          <w:sz w:val="32"/>
          <w:szCs w:val="32"/>
          <w:lang w:val="en-US" w:eastAsia="zh-CN"/>
        </w:rPr>
        <w:t>一、项目立项、实施存在问题。1.</w:t>
      </w:r>
      <w:r>
        <w:rPr>
          <w:rFonts w:hint="eastAsia" w:ascii="仿宋_GB2312" w:hAnsi="仿宋_GB2312" w:eastAsia="仿宋_GB2312" w:cs="仿宋_GB2312"/>
          <w:kern w:val="0"/>
          <w:sz w:val="32"/>
          <w:szCs w:val="32"/>
        </w:rPr>
        <w:t>科技辅导员少，围绕展品开展展教活动次数少，不能满足所有年龄段公众的各种参观体验需求。</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因项目立项时，考虑疫情及原有展厅面积不足等原因影响，年度目标值设置偏低。</w:t>
      </w:r>
      <w:r>
        <w:rPr>
          <w:rFonts w:hint="eastAsia" w:ascii="仿宋_GB2312" w:hAnsi="仿宋_GB2312" w:eastAsia="仿宋_GB2312" w:cs="仿宋_GB2312"/>
          <w:kern w:val="0"/>
          <w:sz w:val="32"/>
          <w:szCs w:val="32"/>
          <w:lang w:val="en-US" w:eastAsia="zh-CN"/>
        </w:rPr>
        <w:t>二、资金管理使用存在问题。</w:t>
      </w:r>
      <w:r>
        <w:rPr>
          <w:rFonts w:hint="eastAsia" w:ascii="仿宋_GB2312" w:hAnsi="仿宋_GB2312" w:eastAsia="仿宋_GB2312" w:cs="仿宋_GB2312"/>
          <w:kern w:val="0"/>
          <w:sz w:val="32"/>
          <w:szCs w:val="32"/>
        </w:rPr>
        <w:t>为保证展厅设计施工一体化良好整合性，此项目资金和免费开放资金共同用于信息技术之光展厅建设，存在使用周期过长的问题。下一步改进措施：1.加强科技辅导员队伍建设，提高科普活动资源研发能力，开展丰富多彩的展教活动。2.提前规划项目资金用途，研究项目实施方案，按照项目各实施阶段要求完成各项指标任务。3.设定绩效目标时严格按照实际情况设定年度目标值。</w:t>
      </w:r>
    </w:p>
    <w:p>
      <w:pPr>
        <w:spacing w:line="62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rPr>
        <w:t>通辽市科技馆科普大篷车常规巡展项目自评综述：根据年初设定的绩效目标，项目自评得分</w:t>
      </w:r>
      <w:r>
        <w:rPr>
          <w:rFonts w:hint="eastAsia" w:ascii="仿宋_GB2312" w:hAnsi="仿宋_GB2312" w:eastAsia="仿宋_GB2312" w:cs="仿宋_GB2312"/>
          <w:kern w:val="0"/>
          <w:sz w:val="32"/>
          <w:szCs w:val="32"/>
          <w:u w:val="single"/>
          <w:lang w:val="en-US" w:eastAsia="zh-CN"/>
        </w:rPr>
        <w:t>95.67</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3</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3</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项目绩效目标完成情况：完成参观互动126000人；开展主题科普活动4次；受众人群满意度达88%；修复损坏展品30件，完好率达87%；完成项目资金3万元；社会效益和满意度指标有待提高。发现的主要问题及原因：展品总体搬运次数较多，损坏程度较大，展品专业性强，维修不便</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展品维修需要专业人员和专用配件，特别是配件采购时间长，不能满足及时的需要</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展品所在旗县讲解人员专业素质参差不齐，不能满足参观体验者的需求，影响其对科学知识的认知度。下一步改进措施：展品搬运和装卸时轻拿轻放以及体验互动时进行适当控制，避免展品的损坏</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提高维修人员专业技能</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及时采购配件</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维护好展品的使用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需要加强对基础讲解人员的培训</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提高讲解员的业务技能。</w:t>
      </w:r>
    </w:p>
    <w:p>
      <w:pPr>
        <w:spacing w:line="62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14.</w:t>
      </w:r>
      <w:r>
        <w:rPr>
          <w:rFonts w:hint="eastAsia" w:ascii="仿宋_GB2312" w:hAnsi="仿宋_GB2312" w:eastAsia="仿宋_GB2312" w:cs="仿宋_GB2312"/>
          <w:kern w:val="0"/>
          <w:sz w:val="32"/>
          <w:szCs w:val="32"/>
        </w:rPr>
        <w:t>通辽市科技馆免费开放补助资金项目（2）项目自评综述：根据年初设定的绩效目标，项目自评得分</w:t>
      </w:r>
      <w:r>
        <w:rPr>
          <w:rFonts w:hint="eastAsia" w:ascii="仿宋_GB2312" w:hAnsi="仿宋_GB2312" w:eastAsia="仿宋_GB2312" w:cs="仿宋_GB2312"/>
          <w:kern w:val="0"/>
          <w:sz w:val="32"/>
          <w:szCs w:val="32"/>
          <w:u w:val="single"/>
          <w:lang w:val="en-US" w:eastAsia="zh-CN"/>
        </w:rPr>
        <w:t>88.96</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89</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39.73</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44.64</w:t>
      </w:r>
      <w:r>
        <w:rPr>
          <w:rFonts w:hint="eastAsia" w:ascii="仿宋_GB2312" w:hAnsi="仿宋_GB2312" w:eastAsia="仿宋_GB2312" w:cs="仿宋_GB2312"/>
          <w:kern w:val="0"/>
          <w:sz w:val="32"/>
          <w:szCs w:val="32"/>
        </w:rPr>
        <w:t>%。项目绩效目标完成情况：经过项目的实施，完成目标情况如下：进行科普教育活动19场；完成了服务采购1批的计划和采购运行保障设施8套的任务；完成项目资金39.725万元，完成率达44.63%；社会效益和满意度指标有待提高。发现的主要问题及原因：</w:t>
      </w:r>
      <w:r>
        <w:rPr>
          <w:rFonts w:hint="eastAsia" w:ascii="仿宋_GB2312" w:hAnsi="仿宋_GB2312" w:eastAsia="仿宋_GB2312" w:cs="仿宋_GB2312"/>
          <w:kern w:val="0"/>
          <w:sz w:val="32"/>
          <w:szCs w:val="32"/>
          <w:lang w:val="en-US" w:eastAsia="zh-CN"/>
        </w:rPr>
        <w:t>资金管理使用存在问题。</w:t>
      </w:r>
      <w:r>
        <w:rPr>
          <w:rFonts w:hint="eastAsia" w:ascii="仿宋_GB2312" w:hAnsi="仿宋_GB2312" w:eastAsia="仿宋_GB2312" w:cs="仿宋_GB2312"/>
          <w:kern w:val="0"/>
          <w:sz w:val="32"/>
          <w:szCs w:val="32"/>
        </w:rPr>
        <w:t>该项目属服务类别，资金按照服务内容进行季度考核，分4次进行支付。下一步改进措施：严格按照合同要求做好季度考核，考核合格后及时支付项目资金。</w:t>
      </w:r>
    </w:p>
    <w:p>
      <w:pPr>
        <w:numPr>
          <w:ilvl w:val="0"/>
          <w:numId w:val="0"/>
        </w:numPr>
        <w:spacing w:line="360" w:lineRule="auto"/>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color w:val="auto"/>
          <w:sz w:val="32"/>
          <w:szCs w:val="32"/>
          <w:lang w:val="en-US" w:eastAsia="zh-CN"/>
        </w:rPr>
        <w:t>15.</w:t>
      </w:r>
      <w:r>
        <w:rPr>
          <w:rFonts w:hint="eastAsia" w:ascii="仿宋_GB2312" w:hAnsi="仿宋_GB2312" w:eastAsia="仿宋_GB2312" w:cs="仿宋_GB2312"/>
          <w:kern w:val="0"/>
          <w:sz w:val="32"/>
          <w:szCs w:val="32"/>
        </w:rPr>
        <w:t>通辽市科技馆免费开放补助资金项目自评综述：根据年初设定的绩效目标，项目自评得分</w:t>
      </w:r>
      <w:r>
        <w:rPr>
          <w:rFonts w:hint="eastAsia" w:ascii="仿宋_GB2312" w:hAnsi="仿宋_GB2312" w:eastAsia="仿宋_GB2312" w:cs="仿宋_GB2312"/>
          <w:kern w:val="0"/>
          <w:sz w:val="32"/>
          <w:szCs w:val="32"/>
          <w:u w:val="single"/>
          <w:lang w:val="en-US" w:eastAsia="zh-CN"/>
        </w:rPr>
        <w:t>92.34</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259</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247.80</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95.66</w:t>
      </w:r>
      <w:r>
        <w:rPr>
          <w:rFonts w:hint="eastAsia" w:ascii="仿宋_GB2312" w:hAnsi="仿宋_GB2312" w:eastAsia="仿宋_GB2312" w:cs="仿宋_GB2312"/>
          <w:kern w:val="0"/>
          <w:sz w:val="32"/>
          <w:szCs w:val="32"/>
        </w:rPr>
        <w:t>%。项目绩效目标完成情况：通过展览教育，以参与、体验、互动对公众进行科普教育，体验人数完成4116人；展品更新采购1套，裸眼3的展项软件和传感器大家族展项表现形式需进一步调整完善；完成项目资金247.8万元，社会效益和满意度指标有待提高。发现的主要问题及原因：</w:t>
      </w:r>
      <w:r>
        <w:rPr>
          <w:rFonts w:hint="eastAsia" w:ascii="仿宋_GB2312" w:hAnsi="仿宋_GB2312" w:eastAsia="仿宋_GB2312" w:cs="仿宋_GB2312"/>
          <w:kern w:val="0"/>
          <w:sz w:val="32"/>
          <w:szCs w:val="32"/>
          <w:lang w:val="en-US" w:eastAsia="zh-CN"/>
        </w:rPr>
        <w:t>一是项目立项、实施存在问题。</w:t>
      </w:r>
      <w:r>
        <w:rPr>
          <w:rFonts w:hint="eastAsia" w:ascii="仿宋_GB2312" w:hAnsi="仿宋_GB2312" w:eastAsia="仿宋_GB2312" w:cs="仿宋_GB2312"/>
          <w:kern w:val="0"/>
          <w:sz w:val="32"/>
          <w:szCs w:val="32"/>
        </w:rPr>
        <w:t>科技辅导员少，围绕展品开展展教活动次数少，不能满足所有年龄段公众的各种参观体验需求。</w:t>
      </w:r>
      <w:r>
        <w:rPr>
          <w:rFonts w:hint="eastAsia" w:ascii="仿宋_GB2312" w:hAnsi="仿宋_GB2312" w:eastAsia="仿宋_GB2312" w:cs="仿宋_GB2312"/>
          <w:kern w:val="0"/>
          <w:sz w:val="32"/>
          <w:szCs w:val="32"/>
          <w:lang w:val="en-US" w:eastAsia="zh-CN"/>
        </w:rPr>
        <w:t>二是资金管理使用存在问题。</w:t>
      </w:r>
      <w:r>
        <w:rPr>
          <w:rFonts w:hint="eastAsia" w:ascii="仿宋_GB2312" w:hAnsi="仿宋_GB2312" w:eastAsia="仿宋_GB2312" w:cs="仿宋_GB2312"/>
          <w:kern w:val="0"/>
          <w:sz w:val="32"/>
          <w:szCs w:val="32"/>
        </w:rPr>
        <w:t>为保证展厅设计施工一体化良好整合性，此项目资金和盟市科技馆展教展品资源建设资金共同用于信息技术之光展厅建设，存在使用周期过长的问题。下一步改进措施： 加强科技辅导员队伍建设，提高科普活动资源研发能力，开展丰富多彩的展教活动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提前规划项目资金用途，研究项目实施方案，按照项目各实施阶段要求完成各项指标任务。</w:t>
      </w:r>
    </w:p>
    <w:p>
      <w:pPr>
        <w:spacing w:after="101" w:line="259" w:lineRule="auto"/>
        <w:ind w:left="3876" w:right="0"/>
        <w:rPr>
          <w:rFonts w:ascii="宋体" w:hAnsi="宋体" w:eastAsia="宋体" w:cs="宋体"/>
          <w:sz w:val="24"/>
        </w:rPr>
      </w:pPr>
    </w:p>
    <w:p>
      <w:pPr>
        <w:pStyle w:val="2"/>
      </w:pPr>
    </w:p>
    <w:p>
      <w:pPr>
        <w:pStyle w:val="2"/>
        <w:rPr>
          <w:rFonts w:hint="default"/>
          <w:lang w:val="en-US" w:eastAsia="zh-CN"/>
        </w:rPr>
      </w:pPr>
    </w:p>
    <w:tbl>
      <w:tblPr>
        <w:tblStyle w:val="21"/>
        <w:tblW w:w="96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8"/>
        <w:gridCol w:w="45"/>
        <w:gridCol w:w="14"/>
        <w:gridCol w:w="17"/>
        <w:gridCol w:w="313"/>
        <w:gridCol w:w="65"/>
        <w:gridCol w:w="85"/>
        <w:gridCol w:w="7"/>
        <w:gridCol w:w="7"/>
        <w:gridCol w:w="445"/>
        <w:gridCol w:w="430"/>
        <w:gridCol w:w="40"/>
        <w:gridCol w:w="12"/>
        <w:gridCol w:w="112"/>
        <w:gridCol w:w="193"/>
        <w:gridCol w:w="768"/>
        <w:gridCol w:w="3"/>
        <w:gridCol w:w="121"/>
        <w:gridCol w:w="8"/>
        <w:gridCol w:w="615"/>
        <w:gridCol w:w="3"/>
        <w:gridCol w:w="46"/>
        <w:gridCol w:w="57"/>
        <w:gridCol w:w="136"/>
        <w:gridCol w:w="429"/>
        <w:gridCol w:w="28"/>
        <w:gridCol w:w="163"/>
        <w:gridCol w:w="13"/>
        <w:gridCol w:w="144"/>
        <w:gridCol w:w="311"/>
        <w:gridCol w:w="251"/>
        <w:gridCol w:w="105"/>
        <w:gridCol w:w="40"/>
        <w:gridCol w:w="49"/>
        <w:gridCol w:w="230"/>
        <w:gridCol w:w="281"/>
        <w:gridCol w:w="120"/>
        <w:gridCol w:w="100"/>
        <w:gridCol w:w="74"/>
        <w:gridCol w:w="40"/>
        <w:gridCol w:w="296"/>
        <w:gridCol w:w="195"/>
        <w:gridCol w:w="84"/>
        <w:gridCol w:w="136"/>
        <w:gridCol w:w="263"/>
        <w:gridCol w:w="102"/>
        <w:gridCol w:w="11"/>
        <w:gridCol w:w="189"/>
        <w:gridCol w:w="150"/>
        <w:gridCol w:w="201"/>
        <w:gridCol w:w="45"/>
        <w:gridCol w:w="420"/>
        <w:gridCol w:w="105"/>
        <w:gridCol w:w="56"/>
        <w:gridCol w:w="78"/>
        <w:gridCol w:w="61"/>
        <w:gridCol w:w="765"/>
        <w:gridCol w:w="60"/>
        <w:gridCol w:w="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675" w:type="dxa"/>
            <w:gridSpan w:val="5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800" w:type="dxa"/>
            <w:gridSpan w:val="5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2023年科普行动计划工作经费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119"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141"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101.94</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99.94</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101.94</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99.94</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903"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897"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03"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提高单位职能服务水平，完成年度重点任务达成以下目标：目标1、各类主题品牌科普活动6场；目标2、支持科技小院建设3次；目标3、科普大篷车巡回展览4场次；目标4、参加和举办科普大赛和会议3次；目标5、年度计划完成及时率100%；目标6、年度预算总金额102万元。</w:t>
            </w:r>
          </w:p>
        </w:tc>
        <w:tc>
          <w:tcPr>
            <w:tcW w:w="4897"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助力全民科学素质提升，完成以下目标：1.各类主题品牌科普活动6场；2.支持科技小院建设3次；3.科普大篷车巡回展览125场次；4.参加和举办科普大赛和会议4次；5.年度计划完成及时率100%；6.年度项目成本101.94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7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0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1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57"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各类主题品牌科普活动场数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支持科技小院建设次数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科普大篷车巡回展览场次数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场次</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参加和举办科普大赛和会议次数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主题品牌科普活动完成率</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科普大篷车巡回展览完成率</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年度工作计划完成率</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年度计划完成及时率</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年度预算总金额</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101.94</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主题品牌科普活动成本</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6.28</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科技助力乡村振兴工作成本</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提升全民科学素质工作成本</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年初指标制定有偏差，导致实际完成值超过指标值。下年项目支出前会充分做好工作安排，科学研究制定年度指标值。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提高农村牧区人口的种养殖技术水平</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提高重点人群的科学素质水平</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37"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重点人群</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33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10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95.99</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60" w:hRule="atLeast"/>
        </w:trPr>
        <w:tc>
          <w:tcPr>
            <w:tcW w:w="8669" w:type="dxa"/>
            <w:gridSpan w:val="5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708" w:type="dxa"/>
            <w:gridSpan w:val="4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科普队伍建设资助项目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46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90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44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99.83</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4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99.83</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5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128"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58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13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128"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提高单位职能服务水平，完成年度重点任务，达成以下目标：1.全市科普信息员、科技志愿者培训6000人次；2.开展科普宣传活动和科技志愿服务活动60次；3.年度工作完成及时率100%；4.年度预算总金额6万元。</w:t>
            </w:r>
          </w:p>
        </w:tc>
        <w:tc>
          <w:tcPr>
            <w:tcW w:w="358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助力全民科学素质提升，实现以下目标：1.全市科普信息员、科技志愿者培训5230人次；2.开展科普宣传活动和科技志愿服务活动60次；3.年度工作完成及时率100%；4.年度总成本5.99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600" w:hRule="atLeast"/>
        </w:trPr>
        <w:tc>
          <w:tcPr>
            <w:tcW w:w="4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6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6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5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3"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全市科技志愿者和科普信息员培训人次</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5230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人次</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8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开展科普宣传活动和科技志愿服务活动次数</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全市科普信息员和科技志愿者培训完成率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8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开展科普宣传活动和科技志愿服务活动完成率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年度工作计划完成率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8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全市科普信息员和科技志愿者培训完成及时率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102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开展科普宣传活动和科技志愿服务活动完成及时率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年度工作完成及时率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全市科普信息员和科技志愿者培训成本</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93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科普队伍建设水平</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全民科学素养</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逐步提升</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逐步提升</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科普信息员</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科技志愿者</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6379"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99.98</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960" w:hRule="atLeast"/>
        </w:trPr>
        <w:tc>
          <w:tcPr>
            <w:tcW w:w="9495" w:type="dxa"/>
            <w:gridSpan w:val="5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527" w:type="dxa"/>
            <w:gridSpan w:val="4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科普信息化内容建设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6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23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99.33</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48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99.33</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60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517"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010"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52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17"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提高单位职能服务水平，完成年度重点任务，达成以下目标：1.与《通辽日报》合作发布“科普通辽”专栏200期；2.设计科普宣传形象物1个；3.制作原创科普宣传微动漫5-7部；4.制作原创科普宣传微动漫完成及时率100%；5.年度预算总金额15万元。</w:t>
            </w:r>
          </w:p>
        </w:tc>
        <w:tc>
          <w:tcPr>
            <w:tcW w:w="4010"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助力全民科学素质提升，完成了各项绩效目标：1.与《通辽日报》合作发布“科普通辽”专栏456期；2.设计科普宣传形象物1个；3.制作原创科普宣传微动漫5部；4.制作原创科普宣传微动漫完成及时率100%；5.项目总成本14.9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660" w:hRule="atLeast"/>
        </w:trPr>
        <w:tc>
          <w:tcPr>
            <w:tcW w:w="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5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6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504"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与《通辽日报》合作发布“科普通辽”专栏期数</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期</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设计科普宣传形象物数</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制作原创科普宣传微动漫数</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20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与《通辽日报》合作发布“科普通辽”专栏完成率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年度工作计划完成率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22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与《通辽日报》合作发布“科普通辽”专栏期完成及时率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设计科普宣传形象物完成及时率</w:t>
            </w:r>
          </w:p>
        </w:tc>
        <w:tc>
          <w:tcPr>
            <w:tcW w:w="6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0" w:type="dxa"/>
          <w:trHeight w:val="98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制作原创科普宣传微动漫完成及时率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年度工作完成及时率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“科普通辽”专栏开设、维护成本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万元/年</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0" w:type="dxa"/>
          <w:trHeight w:val="19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万元/个</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项目初期实施计划不够细致，今后将继续完善项目立项计划，科学制定各项成本指标。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20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万元/年</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项目初期实施计划不够细致，今后将继续完善项目立项计划，科学制定各项成本指标。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40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3.97</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秉持“过紧日子”要求，实际支出过程中节约0.1万元成本。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57"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科普宣传工作影响力</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全民科学素质</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财政资金项目管理长效机制</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57"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7075"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98.50</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960" w:hRule="atLeast"/>
        </w:trPr>
        <w:tc>
          <w:tcPr>
            <w:tcW w:w="8730" w:type="dxa"/>
            <w:gridSpan w:val="5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755" w:type="dxa"/>
            <w:gridSpan w:val="4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提升重点人群科学素质项目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64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68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60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58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52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36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39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44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完成年度工作任务，达成以下目标：1.农村牧区科普知识及实用技术培训130场；2.社区居民、产业工人等科普讲座及义诊10场；3.青少年学术报告20场；4.年度工作计划完成及时率100%；5.年度预算总金额32万元。</w:t>
            </w:r>
          </w:p>
        </w:tc>
        <w:tc>
          <w:tcPr>
            <w:tcW w:w="339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助力全民科学素质提升，实现以下目标：1.农村牧区和社区科普知识及实用技术培训179次；2.社区居民和产业工人等科普讲座及义诊活动35次；3.领导干部科学素质提升活动8次；4.年度项目总成本32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7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080" w:hRule="atLeast"/>
        </w:trPr>
        <w:tc>
          <w:tcPr>
            <w:tcW w:w="495"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0"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农村牧区和社区科普知识及实用技术培训次数</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26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社区居民和产业工人等科普讲座及义诊活动次数</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2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领导干部科学素质提升活动次数</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02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农村牧区社区科普知识及实用技术培训完成率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社区科普讲座及义诊活动完成率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领导干部科学素质提升活动完成率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28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农村牧区社区科普知识及实用技术培训完成及时率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10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社区科普讲座及义诊活动完成及时率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06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领导干部科学素质提升活动完成及时率</w:t>
            </w:r>
          </w:p>
        </w:tc>
        <w:tc>
          <w:tcPr>
            <w:tcW w:w="7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专家培训讲课成本</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五大人群科学素质水平</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建立健全财政资金管理机制</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重点人群</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6675" w:type="dxa"/>
            <w:gridSpan w:val="4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960" w:hRule="atLeast"/>
        </w:trPr>
        <w:tc>
          <w:tcPr>
            <w:tcW w:w="9555" w:type="dxa"/>
            <w:gridSpan w:val="5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130" w:type="dxa"/>
            <w:gridSpan w:val="4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新时代文明实践中心科技志愿服务行动试点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020"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68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56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56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54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740"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390"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156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0"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完成年度工作任务，达成以下目标：1.打造新时代文明实践中心科技志愿服务点1-2个；2.开展新时代文明实践中心科技志愿服务活动20场；3.年度工作计划完成及时率100%；4.年度预算总金额16万元。</w:t>
            </w:r>
          </w:p>
        </w:tc>
        <w:tc>
          <w:tcPr>
            <w:tcW w:w="3390"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助力全民科学素质提升，实现以下目标：1.打造新时代文明实践中心科技志愿服务点1个；2.开展新时代文明实践中心科技志愿服务活动120场；3.年度工作计划完成及时率100%；4.年度总成本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640" w:hRule="atLeast"/>
        </w:trPr>
        <w:tc>
          <w:tcPr>
            <w:tcW w:w="8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9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7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1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打造新时代文明实践中心科技志愿服务点数</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开展新时代文明实践中心科技志愿服务活动数</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打造新时代文明实践中心科技志愿服务点完成率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开展新时代文明实践中心科技志愿服务活动完成率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打造新时代文明实践中心科技志愿服务点完成及时率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开展新时代文明实践中心科技志愿服务活动完成及时率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打造新时代文明实践中心科技志愿服务点成本</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效益指标</w:t>
            </w: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提高科技志愿者、科普信息员科技服务能力</w:t>
            </w:r>
          </w:p>
        </w:tc>
        <w:tc>
          <w:tcPr>
            <w:tcW w:w="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9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建立健全财政资金管理体制</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9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重点人群</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7425" w:type="dxa"/>
            <w:gridSpan w:val="4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widowControl/>
        <w:spacing w:before="240" w:after="240"/>
        <w:rPr>
          <w:rFonts w:hint="eastAsia" w:ascii="仿宋_GB2312" w:hAnsi="仿宋_GB2312" w:eastAsia="仿宋_GB2312" w:cs="仿宋_GB2312"/>
          <w:kern w:val="0"/>
          <w:sz w:val="32"/>
          <w:szCs w:val="32"/>
        </w:rPr>
      </w:pP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（三）部门项目绩效评价结果。</w:t>
      </w:r>
    </w:p>
    <w:p>
      <w:pPr>
        <w:keepNext w:val="0"/>
        <w:keepLines w:val="0"/>
        <w:pageBreakBefore w:val="0"/>
        <w:kinsoku/>
        <w:wordWrap/>
        <w:overflowPunct/>
        <w:topLinePunct w:val="0"/>
        <w:autoSpaceDE w:val="0"/>
        <w:autoSpaceDN w:val="0"/>
        <w:bidi w:val="0"/>
        <w:snapToGrid/>
        <w:spacing w:beforeLines="0" w:afterLines="0" w:line="560" w:lineRule="exact"/>
        <w:ind w:firstLine="640"/>
        <w:jc w:val="both"/>
        <w:textAlignment w:val="auto"/>
        <w:rPr>
          <w:rFonts w:hint="eastAsia" w:ascii="仿宋_GB2312" w:hAnsi="仿宋_GB2312" w:eastAsia="仿宋_GB2312"/>
          <w:color w:val="auto"/>
          <w:kern w:val="2"/>
          <w:sz w:val="32"/>
          <w:szCs w:val="24"/>
        </w:rPr>
      </w:pPr>
      <w:r>
        <w:rPr>
          <w:rFonts w:ascii="fang_song_gb2312" w:hAnsi="fang_song_gb2312" w:eastAsia="fang_song_gb2312" w:cs="fang_song_gb2312"/>
          <w:kern w:val="0"/>
          <w:sz w:val="27"/>
          <w:szCs w:val="27"/>
        </w:rPr>
        <w:t>   </w:t>
      </w:r>
      <w:r>
        <w:rPr>
          <w:rFonts w:hint="eastAsia" w:ascii="仿宋_GB2312" w:hAnsi="仿宋_GB2312" w:eastAsia="仿宋_GB2312" w:cs="Times New Roman"/>
          <w:color w:val="auto"/>
          <w:sz w:val="32"/>
          <w:szCs w:val="24"/>
          <w:lang w:val="en-US" w:eastAsia="zh-CN"/>
        </w:rPr>
        <w:t>老科协科普活动经费</w:t>
      </w:r>
      <w:r>
        <w:rPr>
          <w:rFonts w:hint="eastAsia" w:ascii="仿宋_GB2312" w:hAnsi="仿宋_GB2312" w:eastAsia="仿宋_GB2312"/>
          <w:color w:val="auto"/>
          <w:kern w:val="2"/>
          <w:sz w:val="32"/>
          <w:szCs w:val="24"/>
        </w:rPr>
        <w:t>项目绩效评价综合得分为</w:t>
      </w:r>
      <w:r>
        <w:rPr>
          <w:rFonts w:hint="eastAsia" w:ascii="Times New Roman" w:hAnsi="Times New Roman" w:eastAsia="宋体"/>
          <w:color w:val="auto"/>
          <w:kern w:val="2"/>
          <w:sz w:val="32"/>
          <w:szCs w:val="24"/>
          <w:u w:val="single"/>
          <w:lang w:val="en-US" w:eastAsia="zh-CN"/>
        </w:rPr>
        <w:t>100</w:t>
      </w:r>
      <w:r>
        <w:rPr>
          <w:rFonts w:hint="eastAsia" w:ascii="仿宋_GB2312" w:hAnsi="仿宋_GB2312" w:eastAsia="仿宋_GB2312"/>
          <w:color w:val="auto"/>
          <w:kern w:val="2"/>
          <w:sz w:val="32"/>
          <w:szCs w:val="24"/>
        </w:rPr>
        <w:t>分，绩效评价结果为</w:t>
      </w:r>
      <w:r>
        <w:rPr>
          <w:rFonts w:hint="default" w:ascii="仿宋_GB2312" w:hAnsi="仿宋_GB2312" w:eastAsia="仿宋_GB2312"/>
          <w:color w:val="auto"/>
          <w:kern w:val="2"/>
          <w:sz w:val="32"/>
          <w:szCs w:val="24"/>
        </w:rPr>
        <w:t>“</w:t>
      </w:r>
      <w:r>
        <w:rPr>
          <w:rFonts w:hint="eastAsia" w:ascii="仿宋_GB2312" w:hAnsi="仿宋_GB2312" w:eastAsia="仿宋_GB2312"/>
          <w:color w:val="auto"/>
          <w:kern w:val="2"/>
          <w:sz w:val="32"/>
          <w:szCs w:val="24"/>
        </w:rPr>
        <w:t>优</w:t>
      </w:r>
      <w:r>
        <w:rPr>
          <w:rFonts w:hint="default" w:ascii="仿宋_GB2312" w:hAnsi="仿宋_GB2312" w:eastAsia="仿宋_GB2312"/>
          <w:color w:val="auto"/>
          <w:kern w:val="2"/>
          <w:sz w:val="32"/>
          <w:szCs w:val="24"/>
        </w:rPr>
        <w:t>”</w:t>
      </w:r>
      <w:r>
        <w:rPr>
          <w:rFonts w:hint="eastAsia" w:ascii="仿宋_GB2312" w:hAnsi="仿宋_GB2312" w:eastAsia="仿宋_GB2312"/>
          <w:color w:val="auto"/>
          <w:kern w:val="2"/>
          <w:sz w:val="32"/>
          <w:szCs w:val="24"/>
        </w:rPr>
        <w:t>。</w:t>
      </w:r>
    </w:p>
    <w:p>
      <w:pPr>
        <w:widowControl/>
        <w:spacing w:before="240" w:after="240"/>
        <w:jc w:val="left"/>
        <w:rPr>
          <w:rFonts w:hint="default" w:ascii="仿宋_GB2312" w:hAnsi="仿宋_GB2312" w:eastAsia="仿宋_GB2312" w:cs="Times New Roman"/>
          <w:color w:val="auto"/>
          <w:sz w:val="32"/>
          <w:szCs w:val="24"/>
          <w:lang w:val="en-US" w:eastAsia="zh-CN"/>
        </w:rPr>
      </w:pPr>
      <w:r>
        <w:rPr>
          <w:rFonts w:hint="eastAsia" w:cs="Times New Roman"/>
          <w:kern w:val="0"/>
          <w:sz w:val="24"/>
          <w:lang w:val="en-US" w:eastAsia="zh-CN"/>
        </w:rPr>
        <w:t xml:space="preserve">      </w:t>
      </w:r>
      <w:r>
        <w:rPr>
          <w:rFonts w:hint="eastAsia" w:ascii="仿宋_GB2312" w:hAnsi="仿宋_GB2312" w:eastAsia="仿宋_GB2312" w:cs="Times New Roman"/>
          <w:color w:val="auto"/>
          <w:sz w:val="32"/>
          <w:szCs w:val="24"/>
          <w:lang w:val="en-US" w:eastAsia="zh-CN"/>
        </w:rPr>
        <w:t xml:space="preserve"> 绩效报告内容如下：</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1、基本情况</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（1）项目概况</w:t>
      </w:r>
    </w:p>
    <w:p>
      <w:pPr>
        <w:spacing w:line="620" w:lineRule="exact"/>
        <w:ind w:firstLine="643"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项目背景：</w:t>
      </w:r>
      <w:r>
        <w:rPr>
          <w:rFonts w:hint="eastAsia" w:ascii="仿宋_GB2312" w:hAnsi="仿宋_GB2312" w:eastAsia="仿宋_GB2312" w:cs="仿宋_GB2312"/>
          <w:color w:val="auto"/>
          <w:sz w:val="32"/>
          <w:szCs w:val="32"/>
          <w:lang w:eastAsia="zh-CN"/>
        </w:rPr>
        <w:t>为了深入贯彻落实</w:t>
      </w:r>
      <w:r>
        <w:rPr>
          <w:rFonts w:hint="eastAsia" w:ascii="仿宋_GB2312" w:hAnsi="仿宋_GB2312" w:eastAsia="仿宋_GB2312" w:cs="仿宋_GB2312"/>
          <w:color w:val="auto"/>
          <w:sz w:val="32"/>
          <w:szCs w:val="32"/>
          <w:lang w:val="en-US" w:eastAsia="zh-CN"/>
        </w:rPr>
        <w:t>《中华人民共和国科学技术普及法》</w:t>
      </w:r>
      <w:r>
        <w:rPr>
          <w:rFonts w:hint="eastAsia" w:ascii="仿宋_GB2312" w:hAnsi="仿宋_GB2312" w:eastAsia="仿宋_GB2312" w:cs="仿宋_GB2312"/>
          <w:color w:val="auto"/>
          <w:sz w:val="32"/>
          <w:szCs w:val="32"/>
          <w:lang w:eastAsia="zh-CN"/>
        </w:rPr>
        <w:t>《全民科学素质行动规划纲要（2021-2035年）》</w:t>
      </w:r>
      <w:r>
        <w:rPr>
          <w:rFonts w:hint="eastAsia" w:ascii="仿宋_GB2312" w:hAnsi="仿宋_GB2312" w:eastAsia="仿宋_GB2312" w:cs="仿宋_GB2312"/>
          <w:color w:val="auto"/>
          <w:sz w:val="32"/>
          <w:szCs w:val="32"/>
          <w:lang w:val="en-US" w:eastAsia="zh-CN"/>
        </w:rPr>
        <w:t>《内蒙古自治区科学技术普及条例》的精神，</w:t>
      </w:r>
      <w:r>
        <w:rPr>
          <w:rFonts w:hint="eastAsia" w:ascii="仿宋_GB2312" w:hAnsi="仿宋_GB2312" w:eastAsia="仿宋_GB2312" w:cs="仿宋_GB2312"/>
          <w:color w:val="auto"/>
          <w:sz w:val="32"/>
          <w:szCs w:val="32"/>
          <w:lang w:eastAsia="zh-CN"/>
        </w:rPr>
        <w:t>支持老科协开展科普培训、小科技园项目示范试种等各项活动，</w:t>
      </w:r>
      <w:r>
        <w:rPr>
          <w:rFonts w:hint="eastAsia" w:ascii="仿宋_GB2312" w:hAnsi="仿宋_GB2312" w:eastAsia="仿宋_GB2312" w:cs="仿宋_GB2312"/>
          <w:color w:val="auto"/>
          <w:sz w:val="32"/>
          <w:szCs w:val="32"/>
          <w:lang w:val="en-US" w:eastAsia="zh-CN"/>
        </w:rPr>
        <w:t>2023年安排市本级财政预算22.8万元作为老科协科普活动经费。</w:t>
      </w:r>
    </w:p>
    <w:p>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sz w:val="32"/>
          <w:szCs w:val="32"/>
          <w:lang w:val="en-US" w:eastAsia="zh-CN"/>
        </w:rPr>
      </w:pPr>
      <w:r>
        <w:rPr>
          <w:rFonts w:hint="eastAsia" w:ascii="仿宋_GB2312" w:hAnsi="仿宋_GB2312" w:eastAsia="仿宋_GB2312" w:cs="仿宋_GB2312"/>
          <w:b/>
          <w:bCs/>
          <w:color w:val="auto"/>
          <w:sz w:val="32"/>
          <w:szCs w:val="32"/>
          <w:lang w:val="en-US" w:eastAsia="zh-CN"/>
        </w:rPr>
        <w:t>主要内容：</w:t>
      </w:r>
      <w:r>
        <w:rPr>
          <w:rFonts w:hint="eastAsia" w:ascii="仿宋_GB2312" w:hAnsi="仿宋" w:eastAsia="仿宋_GB2312" w:cs="仿宋"/>
          <w:sz w:val="32"/>
          <w:szCs w:val="32"/>
          <w:lang w:val="en-US" w:eastAsia="zh-CN"/>
        </w:rPr>
        <w:t>老科协科普活动经费</w:t>
      </w:r>
      <w:r>
        <w:rPr>
          <w:rFonts w:hint="eastAsia" w:ascii="仿宋_GB2312" w:hAnsi="仿宋_GB2312" w:eastAsia="仿宋_GB2312" w:cs="仿宋_GB2312"/>
          <w:b w:val="0"/>
          <w:bCs w:val="0"/>
          <w:color w:val="auto"/>
          <w:sz w:val="32"/>
          <w:szCs w:val="32"/>
          <w:lang w:val="en-US" w:eastAsia="zh-CN"/>
        </w:rPr>
        <w:t>，主要用于</w:t>
      </w:r>
      <w:r>
        <w:rPr>
          <w:rFonts w:hint="eastAsia" w:ascii="仿宋_GB2312" w:hAnsi="仿宋_GB2312" w:eastAsia="仿宋_GB2312" w:cs="仿宋_GB2312"/>
          <w:color w:val="auto"/>
          <w:sz w:val="32"/>
          <w:szCs w:val="32"/>
          <w:lang w:eastAsia="zh-CN"/>
        </w:rPr>
        <w:t>支持老科协开展科普培训、小科技园项目示范试种</w:t>
      </w:r>
      <w:r>
        <w:rPr>
          <w:rFonts w:hint="eastAsia" w:ascii="仿宋_GB2312" w:hAnsi="仿宋" w:eastAsia="仿宋_GB2312" w:cs="仿宋"/>
          <w:sz w:val="32"/>
          <w:szCs w:val="32"/>
          <w:lang w:val="en-US" w:eastAsia="zh-CN"/>
        </w:rPr>
        <w:t>等各项活动，为老科协常务人员发放津贴。</w:t>
      </w:r>
    </w:p>
    <w:p>
      <w:pPr>
        <w:keepNext w:val="0"/>
        <w:keepLines w:val="0"/>
        <w:pageBreakBefore w:val="0"/>
        <w:kinsoku/>
        <w:wordWrap/>
        <w:overflowPunct/>
        <w:topLinePunct w:val="0"/>
        <w:bidi w:val="0"/>
        <w:adjustRightInd/>
        <w:snapToGrid/>
        <w:spacing w:line="240" w:lineRule="auto"/>
        <w:ind w:firstLine="643" w:firstLineChars="200"/>
        <w:textAlignment w:val="auto"/>
        <w:rPr>
          <w:rFonts w:hint="default" w:ascii="仿宋_GB2312" w:hAnsi="仿宋" w:eastAsia="仿宋_GB2312"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实施情况：</w:t>
      </w:r>
      <w:r>
        <w:rPr>
          <w:rFonts w:hint="eastAsia" w:ascii="仿宋" w:hAnsi="仿宋" w:eastAsia="仿宋" w:cs="仿宋"/>
          <w:color w:val="auto"/>
          <w:sz w:val="32"/>
          <w:szCs w:val="32"/>
          <w:lang w:eastAsia="zh-CN"/>
        </w:rPr>
        <w:t>通辽</w:t>
      </w:r>
      <w:r>
        <w:rPr>
          <w:rFonts w:hint="eastAsia" w:ascii="仿宋" w:hAnsi="仿宋" w:eastAsia="仿宋" w:cs="仿宋"/>
          <w:color w:val="auto"/>
          <w:sz w:val="32"/>
          <w:szCs w:val="32"/>
          <w:lang w:val="en-US" w:eastAsia="zh-CN"/>
        </w:rPr>
        <w:t>老</w:t>
      </w:r>
      <w:r>
        <w:rPr>
          <w:rFonts w:hint="eastAsia" w:ascii="仿宋" w:hAnsi="仿宋" w:eastAsia="仿宋" w:cs="仿宋"/>
          <w:color w:val="auto"/>
          <w:sz w:val="32"/>
          <w:szCs w:val="32"/>
          <w:lang w:eastAsia="zh-CN"/>
        </w:rPr>
        <w:t>科学技术</w:t>
      </w:r>
      <w:r>
        <w:rPr>
          <w:rFonts w:hint="eastAsia" w:ascii="仿宋" w:hAnsi="仿宋" w:eastAsia="仿宋" w:cs="仿宋"/>
          <w:color w:val="auto"/>
          <w:sz w:val="32"/>
          <w:szCs w:val="32"/>
          <w:lang w:val="en-US" w:eastAsia="zh-CN"/>
        </w:rPr>
        <w:t>工作者</w:t>
      </w:r>
      <w:r>
        <w:rPr>
          <w:rFonts w:hint="eastAsia" w:ascii="仿宋" w:hAnsi="仿宋" w:eastAsia="仿宋" w:cs="仿宋"/>
          <w:color w:val="auto"/>
          <w:sz w:val="32"/>
          <w:szCs w:val="32"/>
          <w:lang w:eastAsia="zh-CN"/>
        </w:rPr>
        <w:t>协会</w:t>
      </w:r>
      <w:r>
        <w:rPr>
          <w:rFonts w:hint="eastAsia" w:ascii="仿宋" w:hAnsi="仿宋" w:eastAsia="仿宋" w:cs="仿宋"/>
          <w:color w:val="auto"/>
          <w:sz w:val="32"/>
          <w:szCs w:val="32"/>
          <w:lang w:val="en-US" w:eastAsia="zh-CN"/>
        </w:rPr>
        <w:t>全年陆续</w:t>
      </w:r>
      <w:r>
        <w:rPr>
          <w:rFonts w:hint="eastAsia" w:ascii="仿宋_GB2312" w:hAnsi="仿宋" w:eastAsia="仿宋_GB2312" w:cs="仿宋"/>
          <w:color w:val="auto"/>
          <w:sz w:val="32"/>
          <w:szCs w:val="32"/>
          <w:lang w:val="en-US" w:eastAsia="zh-CN"/>
        </w:rPr>
        <w:t>开展农村牧区科普培训、社区科普大学培训、小科技园示范试种项目等各项工作，均实现预期目标。</w:t>
      </w:r>
    </w:p>
    <w:p>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资金投入：</w:t>
      </w:r>
      <w:r>
        <w:rPr>
          <w:rFonts w:hint="eastAsia" w:ascii="仿宋_GB2312" w:hAnsi="仿宋" w:eastAsia="仿宋_GB2312" w:cs="仿宋"/>
          <w:color w:val="auto"/>
          <w:sz w:val="32"/>
          <w:szCs w:val="32"/>
          <w:lang w:eastAsia="zh-CN"/>
        </w:rPr>
        <w:t>财政预算</w:t>
      </w:r>
      <w:r>
        <w:rPr>
          <w:rFonts w:hint="eastAsia" w:ascii="仿宋_GB2312" w:hAnsi="仿宋" w:eastAsia="仿宋_GB2312" w:cs="仿宋"/>
          <w:color w:val="auto"/>
          <w:sz w:val="32"/>
          <w:szCs w:val="32"/>
          <w:lang w:val="en-US" w:eastAsia="zh-CN"/>
        </w:rPr>
        <w:t>资</w:t>
      </w:r>
      <w:r>
        <w:rPr>
          <w:rFonts w:hint="eastAsia" w:ascii="仿宋_GB2312" w:hAnsi="仿宋" w:eastAsia="仿宋_GB2312" w:cs="仿宋"/>
          <w:color w:val="auto"/>
          <w:sz w:val="32"/>
          <w:szCs w:val="32"/>
          <w:lang w:eastAsia="zh-CN"/>
        </w:rPr>
        <w:t>金安排</w:t>
      </w:r>
      <w:r>
        <w:rPr>
          <w:rFonts w:hint="eastAsia" w:ascii="仿宋_GB2312" w:hAnsi="仿宋" w:eastAsia="仿宋_GB2312" w:cs="仿宋"/>
          <w:color w:val="auto"/>
          <w:sz w:val="32"/>
          <w:szCs w:val="32"/>
          <w:lang w:val="en-US" w:eastAsia="zh-CN"/>
        </w:rPr>
        <w:t>22.8万元，实际拨付财政资金22.8万元。</w:t>
      </w:r>
      <w:r>
        <w:rPr>
          <w:rFonts w:hint="eastAsia" w:ascii="仿宋" w:hAnsi="仿宋" w:eastAsia="仿宋" w:cs="仿宋"/>
          <w:color w:val="auto"/>
          <w:sz w:val="32"/>
          <w:szCs w:val="32"/>
          <w:lang w:eastAsia="zh-CN"/>
        </w:rPr>
        <w:t>通辽</w:t>
      </w:r>
      <w:r>
        <w:rPr>
          <w:rFonts w:hint="eastAsia" w:ascii="仿宋" w:hAnsi="仿宋" w:eastAsia="仿宋" w:cs="仿宋"/>
          <w:color w:val="auto"/>
          <w:sz w:val="32"/>
          <w:szCs w:val="32"/>
          <w:lang w:val="en-US" w:eastAsia="zh-CN"/>
        </w:rPr>
        <w:t>老</w:t>
      </w:r>
      <w:r>
        <w:rPr>
          <w:rFonts w:hint="eastAsia" w:ascii="仿宋" w:hAnsi="仿宋" w:eastAsia="仿宋" w:cs="仿宋"/>
          <w:color w:val="auto"/>
          <w:sz w:val="32"/>
          <w:szCs w:val="32"/>
          <w:lang w:eastAsia="zh-CN"/>
        </w:rPr>
        <w:t>科学技术</w:t>
      </w:r>
      <w:r>
        <w:rPr>
          <w:rFonts w:hint="eastAsia" w:ascii="仿宋" w:hAnsi="仿宋" w:eastAsia="仿宋" w:cs="仿宋"/>
          <w:color w:val="auto"/>
          <w:sz w:val="32"/>
          <w:szCs w:val="32"/>
          <w:lang w:val="en-US" w:eastAsia="zh-CN"/>
        </w:rPr>
        <w:t>工作者</w:t>
      </w:r>
      <w:r>
        <w:rPr>
          <w:rFonts w:hint="eastAsia" w:ascii="仿宋" w:hAnsi="仿宋" w:eastAsia="仿宋" w:cs="仿宋"/>
          <w:color w:val="auto"/>
          <w:sz w:val="32"/>
          <w:szCs w:val="32"/>
          <w:lang w:eastAsia="zh-CN"/>
        </w:rPr>
        <w:t>协会</w:t>
      </w:r>
      <w:r>
        <w:rPr>
          <w:rFonts w:hint="eastAsia" w:ascii="仿宋" w:hAnsi="仿宋" w:eastAsia="仿宋" w:cs="仿宋"/>
          <w:color w:val="auto"/>
          <w:sz w:val="32"/>
          <w:szCs w:val="32"/>
          <w:lang w:val="en-US" w:eastAsia="zh-CN"/>
        </w:rPr>
        <w:t>使用此经费。</w:t>
      </w:r>
    </w:p>
    <w:p>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color w:val="auto"/>
          <w:sz w:val="32"/>
          <w:szCs w:val="32"/>
        </w:rPr>
      </w:pPr>
      <w:r>
        <w:rPr>
          <w:rFonts w:hint="eastAsia" w:ascii="仿宋_GB2312" w:hAnsi="仿宋_GB2312" w:eastAsia="仿宋_GB2312" w:cs="仿宋_GB2312"/>
          <w:b/>
          <w:bCs/>
          <w:color w:val="auto"/>
          <w:sz w:val="32"/>
          <w:szCs w:val="32"/>
          <w:lang w:val="en-US" w:eastAsia="zh-CN"/>
        </w:rPr>
        <w:t>使用情况：</w:t>
      </w:r>
      <w:r>
        <w:rPr>
          <w:rFonts w:hint="eastAsia" w:ascii="仿宋" w:hAnsi="仿宋" w:eastAsia="仿宋" w:cs="仿宋"/>
          <w:color w:val="auto"/>
          <w:sz w:val="32"/>
          <w:szCs w:val="32"/>
          <w:lang w:val="en-US" w:eastAsia="zh-CN"/>
        </w:rPr>
        <w:t>所有项目经费</w:t>
      </w:r>
      <w:r>
        <w:rPr>
          <w:rFonts w:hint="eastAsia" w:ascii="仿宋_GB2312" w:hAnsi="仿宋" w:eastAsia="仿宋_GB2312" w:cs="仿宋"/>
          <w:color w:val="auto"/>
          <w:sz w:val="32"/>
          <w:szCs w:val="32"/>
          <w:lang w:val="en-US" w:eastAsia="zh-CN"/>
        </w:rPr>
        <w:t>全部支出，用于老科协安排的各项科普活动。</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（2）项目年度预算绩效目标</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为充分发挥部门单位职能职责，提高单位职能服务水平，完成年度工作重点任务，达成以下目标：目标1、农村牧区科普培训10场次；目标2、社区科普大学培训20场次；目标3、小科技园项目示范试种1000亩；目标4、老科协常务人员5人；目标5：年度工作计划完成率100%；目标6、年度预算总金额22.8万元。</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2、绩效评价工作开展情况</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（1）绩效评价目的、对象和范围</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为全面实施预算绩效管理，细化规范项目支出绩效评价工作业务流程，切实提高绩效评价工作质量和水平。根据当年财政下达的一般公共预算，结合</w:t>
      </w:r>
      <w:r>
        <w:rPr>
          <w:rFonts w:hint="eastAsia" w:ascii="仿宋_GB2312" w:hAnsi="仿宋" w:eastAsia="仿宋_GB2312" w:cs="仿宋"/>
          <w:sz w:val="32"/>
          <w:szCs w:val="32"/>
          <w:lang w:val="en-US" w:eastAsia="zh-CN"/>
        </w:rPr>
        <w:t>老科协工作</w:t>
      </w:r>
      <w:r>
        <w:rPr>
          <w:rFonts w:hint="eastAsia" w:ascii="仿宋_GB2312" w:hAnsi="仿宋" w:eastAsia="仿宋_GB2312" w:cs="仿宋"/>
          <w:sz w:val="32"/>
          <w:szCs w:val="32"/>
          <w:lang w:eastAsia="zh-CN"/>
        </w:rPr>
        <w:t>实际，对</w:t>
      </w:r>
      <w:r>
        <w:rPr>
          <w:rFonts w:hint="eastAsia" w:ascii="仿宋_GB2312" w:hAnsi="仿宋" w:eastAsia="仿宋_GB2312" w:cs="仿宋"/>
          <w:sz w:val="32"/>
          <w:szCs w:val="32"/>
          <w:lang w:val="en-US" w:eastAsia="zh-CN"/>
        </w:rPr>
        <w:t>老科协科普活动经费</w:t>
      </w:r>
      <w:r>
        <w:rPr>
          <w:rFonts w:hint="eastAsia" w:ascii="仿宋_GB2312" w:hAnsi="仿宋" w:eastAsia="仿宋_GB2312" w:cs="仿宋"/>
          <w:sz w:val="32"/>
          <w:szCs w:val="32"/>
          <w:lang w:eastAsia="zh-CN"/>
        </w:rPr>
        <w:t>项目支出</w:t>
      </w:r>
      <w:r>
        <w:rPr>
          <w:rFonts w:hint="eastAsia" w:ascii="仿宋_GB2312" w:hAnsi="仿宋" w:eastAsia="仿宋_GB2312" w:cs="仿宋"/>
          <w:sz w:val="32"/>
          <w:szCs w:val="32"/>
          <w:lang w:val="en-US" w:eastAsia="zh-CN"/>
        </w:rPr>
        <w:t>开展</w:t>
      </w:r>
      <w:r>
        <w:rPr>
          <w:rFonts w:hint="eastAsia" w:ascii="仿宋_GB2312" w:hAnsi="仿宋" w:eastAsia="仿宋_GB2312" w:cs="仿宋"/>
          <w:sz w:val="32"/>
          <w:szCs w:val="32"/>
          <w:lang w:eastAsia="zh-CN"/>
        </w:rPr>
        <w:t>绩效评价。</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（2）绩效评价原则、评价指标体系、评价方法等。</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评价原则：</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科学公正。绩效评价应当运用科学合理的方法，按照规范的程序，对项目绩效进行客观、公正的反映;</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统筹兼顾。部门评价在单位自评的基础上开展；</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激励约束。绩效评价结果与预算安排、政策调整、改进管理实质性挂钩，体现奖优罚劣和激励相容导向，有效要安排、低效要压减、无效要问责；</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公开透明。绩效评价结果依法依规公开，自觉接受社会监督。</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评价指标体系：</w:t>
      </w:r>
      <w:r>
        <w:rPr>
          <w:rFonts w:hint="eastAsia" w:ascii="仿宋_GB2312" w:hAnsi="仿宋_GB2312" w:eastAsia="仿宋_GB2312" w:cs="仿宋_GB2312"/>
          <w:sz w:val="32"/>
          <w:szCs w:val="32"/>
          <w:lang w:val="en-US" w:eastAsia="zh-CN"/>
        </w:rPr>
        <w:t>采用通辽市本级项目支出绩效评价细则附件2的表格，结合部门实际，采用分点赋分制，确定优良等次。</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tbl>
      <w:tblPr>
        <w:tblStyle w:val="21"/>
        <w:tblW w:w="917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662"/>
        <w:gridCol w:w="644"/>
        <w:gridCol w:w="1095"/>
        <w:gridCol w:w="2385"/>
        <w:gridCol w:w="438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109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三级指标</w:t>
            </w:r>
          </w:p>
        </w:tc>
        <w:tc>
          <w:tcPr>
            <w:tcW w:w="238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指标解释</w:t>
            </w:r>
          </w:p>
        </w:tc>
        <w:tc>
          <w:tcPr>
            <w:tcW w:w="4386"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指标说明</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立项依据</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pPr>
              <w:pStyle w:val="20"/>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pPr>
              <w:pStyle w:val="20"/>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绩效</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绩效目标</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pPr>
              <w:pStyle w:val="20"/>
              <w:widowControl/>
              <w:spacing w:before="0" w:beforeAutospacing="0" w:after="0" w:afterAutospacing="0" w:line="260" w:lineRule="atLeast"/>
              <w:ind w:left="105" w:right="105"/>
              <w:jc w:val="both"/>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绩效指标</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预算编制</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资金分配</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资金使用</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pPr>
              <w:pStyle w:val="20"/>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pPr>
              <w:pStyle w:val="20"/>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组织</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管理制度</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制度执行</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实际</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r>
    </w:tbl>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评价方法：通过组织被检查的项目所有材料上报至市科协项目评价实施小组，结合实地查看，完成项目评价。</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评价标准：1、计划标准。以预先制定的目标、计划、预算、定额等作为评价标准。2、历史标准。参照历史数据制定的评价标准，为体现绩效改进的原则，在可实现的条件下应当确定相对较高的评价标准。</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（3）绩效评价工作过程。</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36"/>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包括前期准备、组织实施和评价分析、沟通反馈等。</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left="64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确定绩效评价对象。根据年度工作任务，确定2023年度绩效评价</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对象为老科协科普活动经费。</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left="64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制定绩效评价实施方案。根据年度绩效评价工作计划、评价对象</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及预算管理要求，明确绩效评价实施工作目标、任务、时间安排和工作要求。并要求项目相关责任科室上报所有涉及项目绩效评价的项目资料。</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立绩效评价工作组。我部门结合实际，成立通辽市科学技术协会工作组，组长由通辽市科学技术协会党组成员、副主席耐日勒图担任，组员为通辽市科学技术协会财务人员吴黎黎、王海燕。组织开展绩效评价各个环节工作。</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3、综合评价分析情况及评价结论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评价单位：</w:t>
      </w:r>
      <w:r>
        <w:rPr>
          <w:rFonts w:hint="eastAsia" w:ascii="仿宋_GB2312" w:hAnsi="仿宋_GB2312" w:eastAsia="仿宋_GB2312" w:cs="仿宋_GB2312"/>
          <w:sz w:val="32"/>
          <w:szCs w:val="32"/>
          <w:lang w:val="en-US" w:eastAsia="zh-CN"/>
        </w:rPr>
        <w:t>通辽市科学技术协会</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评价项目：</w:t>
      </w:r>
      <w:r>
        <w:rPr>
          <w:rFonts w:hint="eastAsia" w:ascii="仿宋_GB2312" w:hAnsi="仿宋_GB2312" w:eastAsia="仿宋_GB2312" w:cs="仿宋_GB2312"/>
          <w:sz w:val="32"/>
          <w:szCs w:val="32"/>
          <w:lang w:val="en-US" w:eastAsia="zh-CN"/>
        </w:rPr>
        <w:t>2023年老科协科普活动经费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项目金额：</w:t>
      </w:r>
      <w:r>
        <w:rPr>
          <w:rFonts w:hint="eastAsia" w:ascii="仿宋_GB2312" w:hAnsi="仿宋" w:eastAsia="仿宋_GB2312" w:cs="仿宋"/>
          <w:color w:val="auto"/>
          <w:sz w:val="32"/>
          <w:szCs w:val="32"/>
          <w:lang w:val="en-US" w:eastAsia="zh-CN"/>
        </w:rPr>
        <w:t>22.8万</w:t>
      </w:r>
      <w:r>
        <w:rPr>
          <w:rFonts w:hint="eastAsia" w:ascii="仿宋_GB2312" w:hAnsi="仿宋_GB2312" w:eastAsia="仿宋_GB2312" w:cs="仿宋_GB2312"/>
          <w:sz w:val="32"/>
          <w:szCs w:val="32"/>
          <w:lang w:val="en-US" w:eastAsia="zh-CN"/>
        </w:rPr>
        <w:t xml:space="preserve">元         </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评价实际得分：100分</w:t>
      </w:r>
    </w:p>
    <w:tbl>
      <w:tblPr>
        <w:tblStyle w:val="21"/>
        <w:tblW w:w="760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662"/>
        <w:gridCol w:w="644"/>
        <w:gridCol w:w="853"/>
        <w:gridCol w:w="1680"/>
        <w:gridCol w:w="2370"/>
        <w:gridCol w:w="690"/>
        <w:gridCol w:w="70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853"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三级指标</w:t>
            </w:r>
          </w:p>
        </w:tc>
        <w:tc>
          <w:tcPr>
            <w:tcW w:w="168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指标解释</w:t>
            </w:r>
          </w:p>
        </w:tc>
        <w:tc>
          <w:tcPr>
            <w:tcW w:w="237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指标说明</w:t>
            </w:r>
          </w:p>
        </w:tc>
        <w:tc>
          <w:tcPr>
            <w:tcW w:w="69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分值</w:t>
            </w:r>
          </w:p>
        </w:tc>
        <w:tc>
          <w:tcPr>
            <w:tcW w:w="70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实际得分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立项依据</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绩效目标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绩效指标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预算编制</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资金分配</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资金使用</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组织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管理制度</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制度执行</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bl>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eastAsia="zh-CN"/>
        </w:rPr>
        <w:t>结合上述评价表格及结果，通过绩效评价小组研判，确定</w:t>
      </w:r>
      <w:r>
        <w:rPr>
          <w:rFonts w:hint="eastAsia" w:ascii="仿宋_GB2312" w:hAnsi="仿宋_GB2312" w:eastAsia="仿宋_GB2312" w:cs="仿宋_GB2312"/>
          <w:sz w:val="32"/>
          <w:szCs w:val="32"/>
          <w:lang w:val="en-US" w:eastAsia="zh-CN"/>
        </w:rPr>
        <w:t>2023年老科协科普活动经费项目</w:t>
      </w:r>
      <w:r>
        <w:rPr>
          <w:rFonts w:hint="eastAsia" w:ascii="仿宋_GB2312" w:hAnsi="仿宋_GB2312" w:eastAsia="仿宋_GB2312" w:cs="仿宋_GB2312"/>
          <w:sz w:val="32"/>
          <w:szCs w:val="32"/>
          <w:lang w:eastAsia="zh-CN"/>
        </w:rPr>
        <w:t>评价结果为：优。</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4、绩效评价指标分析</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（1）项目决策情况。</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依据充分，主要根据法律法规和部门职能职责。立项程序规范，设立的绩效目标与老科协实际工作安排紧密结合，具有合理性和明确性。资金投入2023年市本级财政预算安排22.8万元，资金到位率和执行率100%，体现了预算编制的科学性。</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（2）项目过程情况。</w:t>
      </w:r>
    </w:p>
    <w:p>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该项目资金到位率100%，资金使用严格按照年初预算执行，并符</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合国家财经法规、经费支出管理办法和机关财务管理制度。保障项目实施的财务和业务管理制度健全完善，项目实施过程严格执行相关管理制度规定，做到了手续完备，资料齐全。</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（3）项目产出情况。</w:t>
      </w:r>
    </w:p>
    <w:p>
      <w:pPr>
        <w:keepNext w:val="0"/>
        <w:keepLines w:val="0"/>
        <w:pageBreakBefore w:val="0"/>
        <w:numPr>
          <w:ilvl w:val="0"/>
          <w:numId w:val="0"/>
        </w:numPr>
        <w:kinsoku/>
        <w:wordWrap/>
        <w:overflowPunct/>
        <w:topLinePunct w:val="0"/>
        <w:bidi w:val="0"/>
        <w:adjustRightInd/>
        <w:snapToGrid/>
        <w:spacing w:line="24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该项目预算资金</w:t>
      </w:r>
      <w:r>
        <w:rPr>
          <w:rFonts w:hint="eastAsia" w:ascii="仿宋_GB2312" w:hAnsi="仿宋_GB2312" w:eastAsia="仿宋_GB2312" w:cs="仿宋_GB2312"/>
          <w:sz w:val="32"/>
          <w:szCs w:val="32"/>
          <w:lang w:val="en-US" w:eastAsia="zh-CN"/>
        </w:rPr>
        <w:t>22.8万元，实际支出22.8万元，该项目中</w:t>
      </w:r>
      <w:r>
        <w:rPr>
          <w:rFonts w:hint="eastAsia" w:ascii="仿宋" w:hAnsi="仿宋" w:eastAsia="仿宋" w:cs="仿宋"/>
          <w:color w:val="auto"/>
          <w:sz w:val="32"/>
          <w:szCs w:val="32"/>
          <w:lang w:val="en-US" w:eastAsia="zh-CN"/>
        </w:rPr>
        <w:t>农村牧区科普培训、社区科普大学培训、小科技园项目示范试种等工作</w:t>
      </w:r>
      <w:r>
        <w:rPr>
          <w:rFonts w:hint="eastAsia" w:ascii="仿宋_GB2312" w:hAnsi="仿宋_GB2312" w:eastAsia="仿宋_GB2312" w:cs="仿宋_GB2312"/>
          <w:sz w:val="32"/>
          <w:szCs w:val="32"/>
          <w:lang w:val="en-US" w:eastAsia="zh-CN"/>
        </w:rPr>
        <w:t>完成及时，质量优秀，达到了预期效果。成本控制方面，每项工作均在预算范围之内。</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（4）项目效益情况。</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该项目的社会效益显著，有效提高了社区居民的科学素质水平；农村牧区人口的种养殖技术水平；青少年对科学技术的理解、掌握和运用能力；领导干部和公务员的科学文化水平。</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5、主要经验及做法</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主要经验及做法</w:t>
      </w:r>
    </w:p>
    <w:p>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高度重视，加强组织领导</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为认真抓好绩效评价工作，成立绩效评价工作组，负责绩效评价方面的日常工作。</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联系实际，科学安排，强力推进</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注重</w:t>
      </w:r>
      <w:r>
        <w:rPr>
          <w:rFonts w:hint="eastAsia"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rPr>
        <w:t>思想教育和具体业务工作相结合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组注重并坚持做到把加强绩效评价工作与党风廉政建设和反腐败工作结合起来，与纠正部门和行业不正之风、切实提高工作效能工作结合起来。坚持并做到把绩效评价工作与相关业务工作一起安排、一起落实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有效地促进了绩效评价工作</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6、有关建议</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）科学合理编制预算，严格执行预算。进一步提高预算编制到位率，做准做全基本支出预算，做全项目支出预算，加强预算支出的审核、跟踪及预算执行情况分析，提高预算编制严谨性和可控性。　</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宋体" w:eastAsia="黑体" w:cs="黑体"/>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）进一步加强项目资金管理。严格实行项目管理程序化，实现项目申报、实施、拨付、评价全流程监督与控制，规范专项资金管理，提高专项资金的使用效益。</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7、其他需要说明的问题</w:t>
      </w:r>
    </w:p>
    <w:p>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ascii="Times New Roman" w:hAnsi="Times New Roman" w:eastAsia="Times New Roman" w:cs="Times New Roman"/>
          <w:kern w:val="0"/>
          <w:sz w:val="24"/>
        </w:rPr>
      </w:pPr>
      <w:r>
        <w:rPr>
          <w:rFonts w:hint="eastAsia" w:ascii="仿宋_GB2312" w:hAnsi="仿宋_GB2312" w:eastAsia="仿宋_GB2312" w:cs="仿宋_GB2312"/>
          <w:sz w:val="32"/>
          <w:szCs w:val="32"/>
          <w:lang w:val="en-US" w:eastAsia="zh-CN"/>
        </w:rPr>
        <w:t>无。</w:t>
      </w:r>
    </w:p>
    <w:p>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一、财政拨款收入：</w:t>
      </w:r>
      <w:r>
        <w:rPr>
          <w:rFonts w:ascii="fang_song_gb2312" w:hAnsi="fang_song_gb2312" w:eastAsia="fang_song_gb2312" w:cs="fang_song_gb2312"/>
          <w:kern w:val="0"/>
          <w:sz w:val="27"/>
          <w:szCs w:val="27"/>
        </w:rPr>
        <w:t>从同级财政部门取得的各类财政拨款，包括一般公共预算财政拨款、政府性基金预算财政拨款、国有资本经营预算财政拨款。</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二、上级补助收入：</w:t>
      </w:r>
      <w:r>
        <w:rPr>
          <w:rFonts w:ascii="fang_song_gb2312" w:hAnsi="fang_song_gb2312" w:eastAsia="fang_song_gb2312" w:cs="fang_song_gb2312"/>
          <w:kern w:val="0"/>
          <w:sz w:val="27"/>
          <w:szCs w:val="27"/>
        </w:rPr>
        <w:t>指事业单位从主管部门和上级单位取得的非财政补助收入。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三、财政专户管理教育收费：</w:t>
      </w:r>
      <w:r>
        <w:rPr>
          <w:rFonts w:ascii="fang_song_gb2312" w:hAnsi="fang_song_gb2312" w:eastAsia="fang_song_gb2312" w:cs="fang_song_gb2312"/>
          <w:kern w:val="0"/>
          <w:sz w:val="27"/>
          <w:szCs w:val="27"/>
        </w:rPr>
        <w:t>指缴入财政专户、实行专项管理的高中以上学费、住宿费、高校委托培养费、函大、电大、夜大及短训班培训费等教育收费。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四、事业收入：</w:t>
      </w:r>
      <w:r>
        <w:rPr>
          <w:rFonts w:ascii="fang_song_gb2312" w:hAnsi="fang_song_gb2312" w:eastAsia="fang_song_gb2312" w:cs="fang_song_gb2312"/>
          <w:kern w:val="0"/>
          <w:sz w:val="27"/>
          <w:szCs w:val="27"/>
        </w:rPr>
        <w:t>指事业单位开展专业业务活动及其辅助活动取得的收入。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五、经营收入：</w:t>
      </w:r>
      <w:r>
        <w:rPr>
          <w:rFonts w:ascii="fang_song_gb2312" w:hAnsi="fang_song_gb2312" w:eastAsia="fang_song_gb2312" w:cs="fang_song_gb2312"/>
          <w:kern w:val="0"/>
          <w:sz w:val="27"/>
          <w:szCs w:val="27"/>
        </w:rPr>
        <w:t>指事业单位在专业业务活动及其辅助活动之外开展非独立核算经营活动取得的收入。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六、附属单位上缴收入：</w:t>
      </w:r>
      <w:r>
        <w:rPr>
          <w:rFonts w:ascii="fang_song_gb2312" w:hAnsi="fang_song_gb2312" w:eastAsia="fang_song_gb2312" w:cs="fang_song_gb2312"/>
          <w:kern w:val="0"/>
          <w:sz w:val="27"/>
          <w:szCs w:val="27"/>
        </w:rPr>
        <w:t>指事业单位取得附属独立核算单位按照有关规定上缴的收入。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七、其他收入：</w:t>
      </w:r>
      <w:r>
        <w:rPr>
          <w:rFonts w:ascii="fang_song_gb2312" w:hAnsi="fang_song_gb2312" w:eastAsia="fang_song_gb2312" w:cs="fang_song_gb2312"/>
          <w:kern w:val="0"/>
          <w:sz w:val="27"/>
          <w:szCs w:val="27"/>
        </w:rPr>
        <w:t>取得的除上述“财政拨款收入”、“上级补助收入”、“事业收入”、“经营收入”、“附属单位上缴收入”等以外的各项收入。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八、使用非财政拨款结余和专用结余：</w:t>
      </w:r>
      <w:r>
        <w:rPr>
          <w:rFonts w:ascii="fang_song_gb2312" w:hAnsi="fang_song_gb2312" w:eastAsia="fang_song_gb2312" w:cs="fang_song_gb2312"/>
          <w:kern w:val="0"/>
          <w:sz w:val="27"/>
          <w:szCs w:val="27"/>
        </w:rPr>
        <w:t>指事业单位按照预算管理要求使用非财政拨款结余和专用结余弥补当年收支差额的数额。</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九、年初结转和结余：</w:t>
      </w:r>
      <w:r>
        <w:rPr>
          <w:rFonts w:ascii="fang_song_gb2312" w:hAnsi="fang_song_gb2312" w:eastAsia="fang_song_gb2312" w:cs="fang_song_gb2312"/>
          <w:kern w:val="0"/>
          <w:sz w:val="27"/>
          <w:szCs w:val="27"/>
        </w:rPr>
        <w:t>指单位上年结转本年使用的基本支出结转、项目支出结转和结余、经营结余。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十、结余分配：</w:t>
      </w:r>
      <w:r>
        <w:rPr>
          <w:rFonts w:ascii="fang_song_gb2312" w:hAnsi="fang_song_gb2312" w:eastAsia="fang_song_gb2312" w:cs="fang_song_gb2312"/>
          <w:kern w:val="0"/>
          <w:sz w:val="27"/>
          <w:szCs w:val="27"/>
        </w:rPr>
        <w:t>指事业单位按规定缴纳企业所得税以及从非财政拨款结余或经营结余中提取各类结余的情况。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十一、年末结转和结余资金：</w:t>
      </w:r>
      <w:r>
        <w:rPr>
          <w:rFonts w:ascii="fang_song_gb2312" w:hAnsi="fang_song_gb2312" w:eastAsia="fang_song_gb2312" w:cs="fang_song_gb2312"/>
          <w:kern w:val="0"/>
          <w:sz w:val="27"/>
          <w:szCs w:val="27"/>
        </w:rPr>
        <w:t>指单位结转下年的基本支出结转、项目支出结转和结余、经营结余。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十二、基本支出：</w:t>
      </w:r>
      <w:r>
        <w:rPr>
          <w:rFonts w:ascii="fang_song_gb2312" w:hAnsi="fang_song_gb2312" w:eastAsia="fang_song_gb2312" w:cs="fang_song_gb2312"/>
          <w:kern w:val="0"/>
          <w:sz w:val="27"/>
          <w:szCs w:val="27"/>
        </w:rPr>
        <w:t>指为保障机构正常运转、完成日常工作任务所发生的支出，包括人员经费和公用经费。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十三、项目支出：</w:t>
      </w:r>
      <w:r>
        <w:rPr>
          <w:rFonts w:ascii="fang_song_gb2312" w:hAnsi="fang_song_gb2312" w:eastAsia="fang_song_gb2312" w:cs="fang_song_gb2312"/>
          <w:kern w:val="0"/>
          <w:sz w:val="27"/>
          <w:szCs w:val="27"/>
        </w:rPr>
        <w:t>指在为完成特定的工作任务和事业发展目标所发生的支出。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十四、上缴上级支出：</w:t>
      </w:r>
      <w:r>
        <w:rPr>
          <w:rFonts w:ascii="fang_song_gb2312" w:hAnsi="fang_song_gb2312" w:eastAsia="fang_song_gb2312" w:cs="fang_song_gb2312"/>
          <w:kern w:val="0"/>
          <w:sz w:val="27"/>
          <w:szCs w:val="27"/>
        </w:rPr>
        <w:t>指事业单位按照财政部门和主管部门的规定上缴上级单位的支出。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十五、经营支出：</w:t>
      </w:r>
      <w:r>
        <w:rPr>
          <w:rFonts w:ascii="fang_song_gb2312" w:hAnsi="fang_song_gb2312" w:eastAsia="fang_song_gb2312" w:cs="fang_song_gb2312"/>
          <w:kern w:val="0"/>
          <w:sz w:val="27"/>
          <w:szCs w:val="27"/>
        </w:rPr>
        <w:t>指事业单位在专业业务活动及其辅助活动之外开展非独立核算经营活动发生的支出。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十六、对附属单位补助支出：</w:t>
      </w:r>
      <w:r>
        <w:rPr>
          <w:rFonts w:ascii="fang_song_gb2312" w:hAnsi="fang_song_gb2312" w:eastAsia="fang_song_gb2312" w:cs="fang_song_gb2312"/>
          <w:kern w:val="0"/>
          <w:sz w:val="27"/>
          <w:szCs w:val="27"/>
        </w:rPr>
        <w:t>指事业单位用财政拨款收入之外的收入对附属单位补助发生的支出。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十七、“三公”经费：</w:t>
      </w:r>
      <w:r>
        <w:rPr>
          <w:rFonts w:ascii="fang_song_gb2312" w:hAnsi="fang_song_gb2312" w:eastAsia="fang_song_gb2312" w:cs="fang_song_gb2312"/>
          <w:kern w:val="0"/>
          <w:sz w:val="27"/>
          <w:szCs w:val="27"/>
        </w:rPr>
        <w:t>指部门用财政拨款安排的因公出国（境）费、公务用车购置及运行维护费和公务接待费。其中，因公出国（境）费反映部门公务出国（境）的国际旅费、国外城市间交通费、住宿费、伙食费、培训费、公杂费等支出；公务用车购置及运行维护费反映部门公务用车购置支出（含车辆购置税、牌照费）以及按规定保留的公务用车燃料费、维修费、过路过桥费、保险费、安全奖励费用等支出；公务接待费反映部门按规定开支的各类公务接待（含外宾接待）费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十八、机构运行经费：</w:t>
      </w:r>
      <w:r>
        <w:rPr>
          <w:rFonts w:ascii="fang_song_gb2312" w:hAnsi="fang_song_gb2312" w:eastAsia="fang_song_gb2312" w:cs="fang_song_gb2312"/>
          <w:kern w:val="0"/>
          <w:sz w:val="27"/>
          <w:szCs w:val="27"/>
        </w:rPr>
        <w:t>指部门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5"/>
        <w:keepNext w:val="0"/>
        <w:keepLines w:val="0"/>
        <w:widowControl/>
        <w:spacing w:before="299" w:after="299" w:line="240" w:lineRule="auto"/>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w:t>
      </w:r>
      <w:r>
        <w:rPr>
          <w:rFonts w:hint="eastAsia" w:ascii="fang_song_gb2312" w:hAnsi="fang_song_gb2312" w:cs="fang_song_gb2312"/>
          <w:kern w:val="0"/>
          <w:sz w:val="27"/>
          <w:szCs w:val="27"/>
          <w:lang w:val="en-US" w:eastAsia="zh-CN"/>
        </w:rPr>
        <w:t>部门</w:t>
      </w:r>
      <w:r>
        <w:rPr>
          <w:rFonts w:ascii="fang_song_gb2312" w:hAnsi="fang_song_gb2312" w:eastAsia="fang_song_gb2312" w:cs="fang_song_gb2312"/>
          <w:kern w:val="0"/>
          <w:sz w:val="27"/>
          <w:szCs w:val="27"/>
        </w:rPr>
        <w:t>决算公开信息反馈和联系方式：</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联系人：</w:t>
      </w:r>
      <w:r>
        <w:rPr>
          <w:rFonts w:ascii="fang_song_gb2312" w:hAnsi="fang_song_gb2312" w:eastAsia="fang_song_gb2312" w:cs="fang_song_gb2312"/>
          <w:kern w:val="0"/>
          <w:sz w:val="27"/>
          <w:szCs w:val="27"/>
          <w:u w:val="single"/>
        </w:rPr>
        <w:t xml:space="preserve">吴黎黎 </w:t>
      </w:r>
      <w:r>
        <w:rPr>
          <w:rFonts w:ascii="fang_song_gb2312" w:hAnsi="fang_song_gb2312" w:eastAsia="fang_song_gb2312" w:cs="fang_song_gb2312"/>
          <w:kern w:val="0"/>
          <w:sz w:val="27"/>
          <w:szCs w:val="27"/>
        </w:rPr>
        <w:t>          联系电话：</w:t>
      </w:r>
      <w:r>
        <w:rPr>
          <w:rFonts w:hint="eastAsia" w:ascii="仿宋_GB2312" w:hAnsi="仿宋_GB2312" w:eastAsia="仿宋_GB2312" w:cs="仿宋_GB2312"/>
          <w:kern w:val="0"/>
          <w:sz w:val="32"/>
          <w:szCs w:val="32"/>
        </w:rPr>
        <w:t>0475-8836840</w:t>
      </w:r>
    </w:p>
    <w:p>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kern w:val="0"/>
          <w:sz w:val="36"/>
          <w:szCs w:val="36"/>
        </w:rPr>
        <w:t>第五部分 部门决算表</w:t>
      </w:r>
    </w:p>
    <w:p>
      <w:pPr>
        <w:widowControl/>
        <w:spacing w:before="240" w:after="240"/>
        <w:jc w:val="left"/>
      </w:pPr>
      <w:r>
        <w:rPr>
          <w:rFonts w:ascii="fang_song_gb2312" w:hAnsi="fang_song_gb2312" w:eastAsia="fang_song_gb2312" w:cs="fang_song_gb2312"/>
          <w:kern w:val="0"/>
          <w:sz w:val="27"/>
          <w:szCs w:val="27"/>
        </w:rPr>
        <w:t>    见附件。1</w:t>
      </w:r>
      <w:bookmarkEnd w:id="0"/>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_song_gb2312">
    <w:altName w:val="EmojiOne Mozilla"/>
    <w:panose1 w:val="00000000000000000000"/>
    <w:charset w:val="00"/>
    <w:family w:val="auto"/>
    <w:pitch w:val="default"/>
    <w:sig w:usb0="00000000" w:usb1="00000000" w:usb2="00000000" w:usb3="00000000" w:csb0="00000000" w:csb1="00000000"/>
  </w:font>
  <w:font w:name="fang_zheng_xiao_biao_song_ti">
    <w:altName w:val="EmojiOne Mozilla"/>
    <w:panose1 w:val="00000000000000000000"/>
    <w:charset w:val="00"/>
    <w:family w:val="auto"/>
    <w:pitch w:val="default"/>
    <w:sig w:usb0="00000000" w:usb1="00000000" w:usb2="00000000" w:usb3="00000000" w:csb0="00000000" w:csb1="00000000"/>
  </w:font>
  <w:font w:name="times_new_roman">
    <w:altName w:val="EmojiOne Mozilla"/>
    <w:panose1 w:val="00000000000000000000"/>
    <w:charset w:val="00"/>
    <w:family w:val="auto"/>
    <w:pitch w:val="default"/>
    <w:sig w:usb0="00000000" w:usb1="00000000" w:usb2="00000000" w:usb3="00000000" w:csb0="00000000" w:csb1="00000000"/>
  </w:font>
  <w:font w:name="kai_ti_gb2312">
    <w:altName w:val="EmojiOne Mozilla"/>
    <w:panose1 w:val="00000000000000000000"/>
    <w:charset w:val="00"/>
    <w:family w:val="auto"/>
    <w:pitch w:val="default"/>
    <w:sig w:usb0="00000000" w:usb1="00000000" w:usb2="00000000" w:usb3="00000000" w:csb0="00000000" w:csb1="00000000"/>
  </w:font>
  <w:font w:name="方正楷体简体">
    <w:panose1 w:val="02000000000000000000"/>
    <w:charset w:val="86"/>
    <w:family w:val="auto"/>
    <w:pitch w:val="default"/>
    <w:sig w:usb0="A00002BF" w:usb1="184F6CFA" w:usb2="00000012" w:usb3="00000000" w:csb0="00040001" w:csb1="00000000"/>
  </w:font>
  <w:font w:name="EmojiOne Mozilla">
    <w:panose1 w:val="02000509000000000000"/>
    <w:charset w:val="00"/>
    <w:family w:val="auto"/>
    <w:pitch w:val="default"/>
    <w:sig w:usb0="80000003" w:usb1="0241E4AC" w:usb2="08000000" w:usb3="04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 PAGE   \* MERGEFORMAT </w:instrText>
    </w:r>
    <w:r>
      <w:fldChar w:fldCharType="separate"/>
    </w:r>
    <w:r>
      <w:rPr>
        <w:lang w:val="zh-CN"/>
      </w:rPr>
      <w:t>24</w:t>
    </w:r>
    <w:r>
      <w:rPr>
        <w:lang w:val="zh-CN"/>
      </w:rP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99E95"/>
    <w:multiLevelType w:val="singleLevel"/>
    <w:tmpl w:val="A6799E95"/>
    <w:lvl w:ilvl="0" w:tentative="0">
      <w:start w:val="1"/>
      <w:numFmt w:val="chineseCounting"/>
      <w:suff w:val="nothing"/>
      <w:lvlText w:val="（%1）"/>
      <w:lvlJc w:val="left"/>
      <w:rPr>
        <w:rFonts w:hint="eastAsia"/>
      </w:rPr>
    </w:lvl>
  </w:abstractNum>
  <w:abstractNum w:abstractNumId="1">
    <w:nsid w:val="C59AE1DB"/>
    <w:multiLevelType w:val="singleLevel"/>
    <w:tmpl w:val="C59AE1DB"/>
    <w:lvl w:ilvl="0" w:tentative="0">
      <w:start w:val="2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2NWJmM2ExY2Q4MTU5ZjI3NjQxYzEzMTNkMzk1ODYifQ=="/>
    <w:docVar w:name="KSO_WPS_MARK_KEY" w:val="1b79e5cd-1cf7-4db4-916f-9436e367e38a"/>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60D6A"/>
    <w:rsid w:val="00E73321"/>
    <w:rsid w:val="00E77EC0"/>
    <w:rsid w:val="00E914C1"/>
    <w:rsid w:val="00E97C37"/>
    <w:rsid w:val="00EE533B"/>
    <w:rsid w:val="00F04882"/>
    <w:rsid w:val="00F63327"/>
    <w:rsid w:val="00F80A29"/>
    <w:rsid w:val="00FA7CA5"/>
    <w:rsid w:val="00FD08EC"/>
    <w:rsid w:val="00FD7690"/>
    <w:rsid w:val="04B52C5F"/>
    <w:rsid w:val="193727D6"/>
    <w:rsid w:val="26F21767"/>
    <w:rsid w:val="28080486"/>
    <w:rsid w:val="2B683D77"/>
    <w:rsid w:val="51121297"/>
    <w:rsid w:val="589A7317"/>
    <w:rsid w:val="5A867B53"/>
    <w:rsid w:val="6AB04778"/>
    <w:rsid w:val="6D7F3DE2"/>
    <w:rsid w:val="6E9671EC"/>
    <w:rsid w:val="7223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30"/>
    <w:qFormat/>
    <w:uiPriority w:val="0"/>
    <w:pPr>
      <w:keepNext/>
      <w:keepLines/>
      <w:spacing w:before="260" w:after="260" w:line="416" w:lineRule="auto"/>
      <w:outlineLvl w:val="2"/>
    </w:pPr>
    <w:rPr>
      <w:b/>
      <w:bCs/>
      <w:sz w:val="32"/>
      <w:szCs w:val="32"/>
    </w:rPr>
  </w:style>
  <w:style w:type="paragraph" w:styleId="7">
    <w:name w:val="heading 4"/>
    <w:basedOn w:val="1"/>
    <w:next w:val="1"/>
    <w:link w:val="25"/>
    <w:qFormat/>
    <w:uiPriority w:val="0"/>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spacing w:beforeLines="0" w:afterLines="0"/>
      <w:ind w:firstLine="420"/>
    </w:pPr>
    <w:rPr>
      <w:rFonts w:hint="eastAsia"/>
      <w:sz w:val="24"/>
      <w:szCs w:val="24"/>
    </w:rPr>
  </w:style>
  <w:style w:type="paragraph" w:styleId="3">
    <w:name w:val="Body Text Indent"/>
    <w:basedOn w:val="1"/>
    <w:unhideWhenUsed/>
    <w:qFormat/>
    <w:uiPriority w:val="0"/>
    <w:pPr>
      <w:spacing w:beforeLines="0" w:after="120" w:afterLines="0"/>
      <w:ind w:left="420" w:leftChars="200"/>
    </w:pPr>
    <w:rPr>
      <w:rFonts w:hint="eastAsia" w:ascii="宋体" w:hAnsi="宋体" w:eastAsia="宋体"/>
      <w:sz w:val="24"/>
      <w:szCs w:val="24"/>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basedOn w:val="1"/>
    <w:next w:val="1"/>
    <w:qFormat/>
    <w:uiPriority w:val="0"/>
    <w:pPr>
      <w:adjustRightInd w:val="0"/>
      <w:snapToGrid w:val="0"/>
      <w:spacing w:line="360" w:lineRule="auto"/>
      <w:ind w:firstLine="400" w:firstLineChars="400"/>
      <w:jc w:val="left"/>
    </w:pPr>
    <w:rPr>
      <w:sz w:val="24"/>
      <w:szCs w:val="20"/>
    </w:rPr>
  </w:style>
  <w:style w:type="paragraph" w:styleId="12">
    <w:name w:val="toc 8"/>
    <w:basedOn w:val="1"/>
    <w:next w:val="1"/>
    <w:qFormat/>
    <w:uiPriority w:val="0"/>
    <w:pPr>
      <w:ind w:left="1470"/>
      <w:jc w:val="left"/>
    </w:pPr>
    <w:rPr>
      <w:sz w:val="20"/>
      <w:szCs w:val="20"/>
    </w:rPr>
  </w:style>
  <w:style w:type="paragraph" w:styleId="13">
    <w:name w:val="footer"/>
    <w:basedOn w:val="1"/>
    <w:link w:val="28"/>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pPr>
      <w:adjustRightInd w:val="0"/>
      <w:snapToGrid w:val="0"/>
      <w:spacing w:line="360" w:lineRule="auto"/>
      <w:jc w:val="left"/>
    </w:pPr>
    <w:rPr>
      <w:b/>
      <w:bCs/>
      <w:sz w:val="24"/>
      <w:szCs w:val="20"/>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9">
    <w:name w:val="toc 9"/>
    <w:basedOn w:val="1"/>
    <w:next w:val="1"/>
    <w:qFormat/>
    <w:uiPriority w:val="0"/>
    <w:pPr>
      <w:ind w:left="1680"/>
      <w:jc w:val="left"/>
    </w:pPr>
    <w:rPr>
      <w:sz w:val="20"/>
      <w:szCs w:val="20"/>
    </w:rPr>
  </w:style>
  <w:style w:type="paragraph" w:styleId="20">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character" w:styleId="23">
    <w:name w:val="page number"/>
    <w:basedOn w:val="22"/>
    <w:qFormat/>
    <w:uiPriority w:val="0"/>
  </w:style>
  <w:style w:type="character" w:styleId="24">
    <w:name w:val="Hyperlink"/>
    <w:basedOn w:val="22"/>
    <w:qFormat/>
    <w:uiPriority w:val="0"/>
    <w:rPr>
      <w:color w:val="0000FF"/>
      <w:u w:val="single"/>
    </w:rPr>
  </w:style>
  <w:style w:type="character" w:customStyle="1" w:styleId="25">
    <w:name w:val="标题 4 字符"/>
    <w:basedOn w:val="22"/>
    <w:link w:val="7"/>
    <w:qFormat/>
    <w:uiPriority w:val="0"/>
    <w:rPr>
      <w:rFonts w:ascii="Cambria" w:hAnsi="Cambria"/>
      <w:b/>
      <w:bCs/>
      <w:kern w:val="2"/>
      <w:sz w:val="28"/>
      <w:szCs w:val="28"/>
    </w:rPr>
  </w:style>
  <w:style w:type="paragraph" w:styleId="26">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7">
    <w:name w:val="无间隔 字符"/>
    <w:link w:val="26"/>
    <w:qFormat/>
    <w:locked/>
    <w:uiPriority w:val="0"/>
    <w:rPr>
      <w:rFonts w:eastAsia="仿宋_GB2312"/>
      <w:sz w:val="30"/>
      <w:szCs w:val="22"/>
      <w:lang w:bidi="ar-SA"/>
    </w:rPr>
  </w:style>
  <w:style w:type="character" w:customStyle="1" w:styleId="28">
    <w:name w:val="页脚 字符"/>
    <w:basedOn w:val="22"/>
    <w:link w:val="13"/>
    <w:qFormat/>
    <w:uiPriority w:val="0"/>
    <w:rPr>
      <w:kern w:val="2"/>
      <w:sz w:val="18"/>
      <w:szCs w:val="18"/>
    </w:rPr>
  </w:style>
  <w:style w:type="paragraph" w:styleId="29">
    <w:name w:val="List Paragraph"/>
    <w:basedOn w:val="1"/>
    <w:qFormat/>
    <w:uiPriority w:val="0"/>
    <w:pPr>
      <w:ind w:firstLine="420" w:firstLineChars="200"/>
    </w:pPr>
  </w:style>
  <w:style w:type="character" w:customStyle="1" w:styleId="30">
    <w:name w:val="标题 3 字符"/>
    <w:basedOn w:val="22"/>
    <w:link w:val="6"/>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收入决算图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一般公共预算财政拨款收入</c:v>
                </c:pt>
                <c:pt idx="1">
                  <c:v>其他收入</c:v>
                </c:pt>
              </c:strCache>
            </c:strRef>
          </c:cat>
          <c:val>
            <c:numRef>
              <c:f>Sheet1!$B$2:$B$5</c:f>
              <c:numCache>
                <c:formatCode>General</c:formatCode>
                <c:ptCount val="4"/>
                <c:pt idx="0">
                  <c:v>1369.36</c:v>
                </c:pt>
                <c:pt idx="1">
                  <c:v>8.13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基本支出</c:v>
                </c:pt>
                <c:pt idx="1">
                  <c:v>项目支出</c:v>
                </c:pt>
              </c:strCache>
            </c:strRef>
          </c:cat>
          <c:val>
            <c:numRef>
              <c:f>Sheet1!$B$2:$B$5</c:f>
              <c:numCache>
                <c:formatCode>General</c:formatCode>
                <c:ptCount val="4"/>
                <c:pt idx="0">
                  <c:v>630.27</c:v>
                </c:pt>
                <c:pt idx="1">
                  <c:v>744.64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57</Pages>
  <Words>27205</Words>
  <Characters>29381</Characters>
  <Lines>1</Lines>
  <Paragraphs>1</Paragraphs>
  <TotalTime>2</TotalTime>
  <ScaleCrop>false</ScaleCrop>
  <LinksUpToDate>false</LinksUpToDate>
  <CharactersWithSpaces>30062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2024-10-08T06:36:52Z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2E700989E7CD4244970198C7644F0D7D_12</vt:lpwstr>
  </property>
</Properties>
</file>