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Arial" w:hAnsi="Arial" w:eastAsia="Symbol"/>
          <w:b/>
          <w:bCs/>
          <w:sz w:val="32"/>
          <w:szCs w:val="32"/>
          <w:highlight w:val="none"/>
        </w:rPr>
      </w:pPr>
    </w:p>
    <w:p>
      <w:pPr>
        <w:pStyle w:val="2"/>
      </w:pPr>
    </w:p>
    <w:p>
      <w:pPr>
        <w:pStyle w:val="2"/>
        <w:rPr>
          <w:rFonts w:hint="default"/>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spacing w:line="600" w:lineRule="exact"/>
        <w:jc w:val="center"/>
        <w:rPr>
          <w:rFonts w:ascii="Arial" w:hAnsi="Arial" w:eastAsia="宋体"/>
          <w:b/>
          <w:bCs/>
          <w:sz w:val="32"/>
          <w:szCs w:val="32"/>
          <w:highlight w:val="none"/>
        </w:rPr>
      </w:pPr>
    </w:p>
    <w:p>
      <w:pPr>
        <w:widowControl w:val="0"/>
        <w:spacing w:before="0" w:after="0" w:line="600" w:lineRule="exact"/>
        <w:jc w:val="center"/>
        <w:rPr>
          <w:rFonts w:hint="eastAsia" w:ascii="方正小标宋简体" w:hAnsi="方正小标宋简体" w:eastAsia="方正小标宋简体" w:cs="方正小标宋简体"/>
          <w:kern w:val="2"/>
          <w:sz w:val="44"/>
          <w:szCs w:val="44"/>
          <w:highlight w:val="none"/>
          <w:lang w:val="en-US"/>
        </w:rPr>
      </w:pPr>
      <w:r>
        <w:rPr>
          <w:rFonts w:hint="eastAsia" w:ascii="方正小标宋简体" w:hAnsi="方正小标宋简体" w:eastAsia="方正小标宋简体" w:cs="方正小标宋简体"/>
          <w:kern w:val="2"/>
          <w:sz w:val="44"/>
          <w:szCs w:val="44"/>
          <w:highlight w:val="none"/>
          <w:lang w:val="en-US"/>
        </w:rPr>
        <w:t>202</w:t>
      </w:r>
      <w:r>
        <w:rPr>
          <w:rFonts w:hint="eastAsia" w:ascii="方正小标宋简体" w:hAnsi="方正小标宋简体" w:eastAsia="方正小标宋简体" w:cs="方正小标宋简体"/>
          <w:kern w:val="2"/>
          <w:sz w:val="44"/>
          <w:szCs w:val="44"/>
          <w:highlight w:val="none"/>
          <w:lang w:val="en-US" w:eastAsia="zh-CN"/>
        </w:rPr>
        <w:t>4</w:t>
      </w:r>
      <w:r>
        <w:rPr>
          <w:rFonts w:hint="eastAsia" w:ascii="方正小标宋简体" w:hAnsi="方正小标宋简体" w:eastAsia="方正小标宋简体" w:cs="方正小标宋简体"/>
          <w:kern w:val="2"/>
          <w:sz w:val="44"/>
          <w:szCs w:val="44"/>
          <w:highlight w:val="none"/>
          <w:lang w:val="en-US"/>
        </w:rPr>
        <w:t>年</w:t>
      </w:r>
      <w:r>
        <w:rPr>
          <w:rFonts w:hint="eastAsia" w:ascii="方正小标宋简体" w:hAnsi="方正小标宋简体" w:eastAsia="方正小标宋简体" w:cs="方正小标宋简体"/>
          <w:kern w:val="2"/>
          <w:sz w:val="44"/>
          <w:szCs w:val="44"/>
          <w:highlight w:val="none"/>
          <w:lang w:val="en-US" w:eastAsia="zh-CN"/>
        </w:rPr>
        <w:t>度</w:t>
      </w:r>
      <w:r>
        <w:rPr>
          <w:rFonts w:hint="eastAsia" w:ascii="方正小标宋简体" w:hAnsi="方正小标宋简体" w:eastAsia="方正小标宋简体" w:cs="方正小标宋简体"/>
          <w:kern w:val="2"/>
          <w:sz w:val="44"/>
          <w:szCs w:val="44"/>
          <w:highlight w:val="none"/>
          <w:u w:val="single"/>
          <w:lang w:val="en-US" w:eastAsia="zh-CN"/>
        </w:rPr>
        <w:t>通辽市科学技术协会</w:t>
      </w:r>
      <w:r>
        <w:rPr>
          <w:rFonts w:hint="eastAsia" w:ascii="方正小标宋简体" w:hAnsi="方正小标宋简体" w:eastAsia="方正小标宋简体" w:cs="方正小标宋简体"/>
          <w:kern w:val="2"/>
          <w:sz w:val="44"/>
          <w:szCs w:val="44"/>
          <w:highlight w:val="none"/>
          <w:lang w:val="en-US"/>
        </w:rPr>
        <w:t>预算公开</w:t>
      </w:r>
    </w:p>
    <w:p>
      <w:pPr>
        <w:spacing w:line="600" w:lineRule="exact"/>
        <w:jc w:val="center"/>
        <w:rPr>
          <w:rFonts w:ascii="方正小标宋简体" w:hAnsi="方正小标宋简体" w:eastAsia="方正小标宋简体" w:cs="方正小标宋简体"/>
          <w:sz w:val="44"/>
          <w:szCs w:val="44"/>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pStyle w:val="2"/>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adjustRightInd w:val="0"/>
        <w:snapToGrid w:val="0"/>
        <w:spacing w:line="600" w:lineRule="exact"/>
        <w:ind w:firstLine="640"/>
        <w:rPr>
          <w:rFonts w:ascii="Times New Roman" w:hAnsi="Times New Roman" w:eastAsia="仿宋_GB2312"/>
          <w:sz w:val="32"/>
          <w:szCs w:val="32"/>
          <w:highlight w:val="none"/>
        </w:rPr>
      </w:pPr>
    </w:p>
    <w:p>
      <w:pPr>
        <w:pStyle w:val="2"/>
        <w:spacing w:after="0" w:line="600" w:lineRule="exact"/>
        <w:ind w:left="0" w:leftChars="0" w:firstLine="0"/>
        <w:jc w:val="center"/>
        <w:rPr>
          <w:rFonts w:hint="default" w:ascii="黑体" w:hAnsi="黑体" w:eastAsia="黑体" w:cs="黑体"/>
          <w:highlight w:val="none"/>
        </w:rPr>
      </w:pPr>
      <w:r>
        <w:rPr>
          <w:rFonts w:ascii="黑体" w:hAnsi="黑体" w:eastAsia="黑体" w:cs="黑体"/>
          <w:sz w:val="32"/>
          <w:szCs w:val="32"/>
          <w:highlight w:val="none"/>
        </w:rPr>
        <w:t>批复时间：</w:t>
      </w:r>
      <w:r>
        <w:rPr>
          <w:rFonts w:hint="eastAsia" w:ascii="黑体" w:hAnsi="黑体" w:eastAsia="黑体" w:cs="黑体"/>
          <w:sz w:val="32"/>
          <w:szCs w:val="32"/>
          <w:highlight w:val="none"/>
          <w:u w:val="single"/>
          <w:lang w:val="en-US" w:eastAsia="zh-CN"/>
        </w:rPr>
        <w:t>2024</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8</w:t>
      </w:r>
      <w:r>
        <w:rPr>
          <w:rFonts w:ascii="黑体" w:hAnsi="黑体" w:eastAsia="黑体" w:cs="黑体"/>
          <w:sz w:val="32"/>
          <w:szCs w:val="32"/>
          <w:highlight w:val="none"/>
          <w:u w:val="single"/>
        </w:rPr>
        <w:t>日</w:t>
      </w:r>
    </w:p>
    <w:p>
      <w:pPr>
        <w:pStyle w:val="2"/>
        <w:spacing w:after="0" w:line="600" w:lineRule="exact"/>
        <w:ind w:left="0" w:leftChars="0" w:firstLine="2240" w:firstLineChars="700"/>
        <w:jc w:val="both"/>
        <w:rPr>
          <w:rFonts w:hint="default" w:ascii="黑体" w:hAnsi="黑体" w:eastAsia="黑体" w:cs="黑体"/>
          <w:highlight w:val="none"/>
        </w:rPr>
      </w:pPr>
      <w:r>
        <w:rPr>
          <w:rFonts w:ascii="黑体" w:hAnsi="黑体" w:eastAsia="黑体" w:cs="黑体"/>
          <w:sz w:val="32"/>
          <w:szCs w:val="32"/>
          <w:highlight w:val="none"/>
        </w:rPr>
        <w:t>公开时间：</w:t>
      </w:r>
      <w:r>
        <w:rPr>
          <w:rFonts w:hint="eastAsia" w:ascii="黑体" w:hAnsi="黑体" w:eastAsia="黑体" w:cs="黑体"/>
          <w:sz w:val="32"/>
          <w:szCs w:val="32"/>
          <w:highlight w:val="none"/>
          <w:u w:val="single"/>
          <w:lang w:val="en-US" w:eastAsia="zh-CN"/>
        </w:rPr>
        <w:t>2024</w:t>
      </w:r>
      <w:r>
        <w:rPr>
          <w:rFonts w:ascii="黑体" w:hAnsi="黑体" w:eastAsia="黑体" w:cs="黑体"/>
          <w:sz w:val="32"/>
          <w:szCs w:val="32"/>
          <w:highlight w:val="none"/>
          <w:u w:val="single"/>
        </w:rPr>
        <w:t>年</w:t>
      </w:r>
      <w:r>
        <w:rPr>
          <w:rFonts w:hint="eastAsia" w:ascii="黑体" w:hAnsi="黑体" w:eastAsia="黑体" w:cs="黑体"/>
          <w:sz w:val="32"/>
          <w:szCs w:val="32"/>
          <w:highlight w:val="none"/>
          <w:u w:val="single"/>
          <w:lang w:val="en-US" w:eastAsia="zh-CN"/>
        </w:rPr>
        <w:t>2</w:t>
      </w:r>
      <w:r>
        <w:rPr>
          <w:rFonts w:ascii="黑体" w:hAnsi="黑体" w:eastAsia="黑体" w:cs="黑体"/>
          <w:sz w:val="32"/>
          <w:szCs w:val="32"/>
          <w:highlight w:val="none"/>
          <w:u w:val="single"/>
        </w:rPr>
        <w:t>月</w:t>
      </w:r>
      <w:r>
        <w:rPr>
          <w:rFonts w:hint="eastAsia" w:ascii="黑体" w:hAnsi="黑体" w:eastAsia="黑体" w:cs="黑体"/>
          <w:sz w:val="32"/>
          <w:szCs w:val="32"/>
          <w:highlight w:val="none"/>
          <w:u w:val="single"/>
          <w:lang w:val="en-US" w:eastAsia="zh-CN"/>
        </w:rPr>
        <w:t>26</w:t>
      </w:r>
      <w:r>
        <w:rPr>
          <w:rFonts w:ascii="黑体" w:hAnsi="黑体" w:eastAsia="黑体" w:cs="黑体"/>
          <w:sz w:val="32"/>
          <w:szCs w:val="32"/>
          <w:highlight w:val="none"/>
          <w:u w:val="single"/>
        </w:rPr>
        <w:t>日</w:t>
      </w:r>
    </w:p>
    <w:p>
      <w:pPr>
        <w:pageBreakBefore/>
        <w:tabs>
          <w:tab w:val="left" w:pos="4533"/>
        </w:tabs>
        <w:adjustRightInd w:val="0"/>
        <w:snapToGrid w:val="0"/>
        <w:spacing w:line="600" w:lineRule="exact"/>
        <w:jc w:val="center"/>
        <w:rPr>
          <w:sz w:val="44"/>
          <w:szCs w:val="44"/>
          <w:highlight w:val="none"/>
        </w:rPr>
      </w:pPr>
      <w:r>
        <w:rPr>
          <w:sz w:val="44"/>
          <w:szCs w:val="44"/>
          <w:highlight w:val="none"/>
        </w:rPr>
        <w:t>目</w:t>
      </w:r>
      <w:r>
        <w:rPr>
          <w:rFonts w:hint="eastAsia" w:eastAsia="宋体"/>
          <w:sz w:val="44"/>
          <w:szCs w:val="44"/>
          <w:highlight w:val="none"/>
        </w:rPr>
        <w:t xml:space="preserve">  </w:t>
      </w:r>
      <w:r>
        <w:rPr>
          <w:rFonts w:hint="eastAsia"/>
          <w:sz w:val="44"/>
          <w:szCs w:val="44"/>
          <w:highlight w:val="none"/>
        </w:rPr>
        <w:t xml:space="preserve">  </w:t>
      </w:r>
      <w:r>
        <w:rPr>
          <w:sz w:val="44"/>
          <w:szCs w:val="44"/>
          <w:highlight w:val="none"/>
        </w:rPr>
        <w:t>录</w:t>
      </w:r>
    </w:p>
    <w:p>
      <w:pPr>
        <w:rPr>
          <w:highlight w:val="none"/>
        </w:rPr>
      </w:pP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第一部分 部门概况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一、主要职能、职责</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二、部门机构设置及预算单位构成情况</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w:t>
      </w:r>
      <w:r>
        <w:rPr>
          <w:rFonts w:hint="eastAsia" w:ascii="仿宋_GB2312" w:hAnsi="仿宋_GB2312" w:eastAsia="仿宋_GB2312" w:cs="仿宋"/>
          <w:sz w:val="32"/>
          <w:szCs w:val="32"/>
          <w:highlight w:val="none"/>
          <w:lang w:val="en-US" w:eastAsia="zh-CN"/>
        </w:rPr>
        <w:t>2024</w:t>
      </w:r>
      <w:r>
        <w:rPr>
          <w:rFonts w:hint="eastAsia" w:ascii="Times New Roman" w:hAnsi="Times New Roman" w:eastAsia="仿宋_GB2312" w:cs="仿宋"/>
          <w:sz w:val="32"/>
          <w:szCs w:val="32"/>
          <w:highlight w:val="none"/>
        </w:rPr>
        <w:t>年度部门主要工作任务及目标</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第二部分 </w:t>
      </w:r>
      <w:r>
        <w:rPr>
          <w:rFonts w:hint="eastAsia" w:ascii="黑体" w:hAnsi="黑体" w:eastAsia="黑体" w:cs="黑体"/>
          <w:sz w:val="32"/>
          <w:szCs w:val="32"/>
          <w:highlight w:val="none"/>
          <w:lang w:val="en-US" w:eastAsia="zh-CN"/>
        </w:rPr>
        <w:t>2024</w:t>
      </w:r>
      <w:r>
        <w:rPr>
          <w:rFonts w:hint="eastAsia" w:ascii="黑体" w:hAnsi="黑体" w:eastAsia="黑体" w:cs="黑体"/>
          <w:sz w:val="32"/>
          <w:szCs w:val="32"/>
          <w:highlight w:val="none"/>
        </w:rPr>
        <w:t>年度部门预算情况说明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三、支出预算情况说明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四、财政拨款收支预算总体情况说明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五、一般公共预算支出预算情况说明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六、一般公共预算基本支出预算情况说明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七、一般公共预算“三公”经费支出预算情况说明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八、政府性基金预算支出预算情况说明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w:t>
      </w:r>
      <w:r>
        <w:rPr>
          <w:rFonts w:hint="eastAsia" w:ascii="Times New Roman" w:hAnsi="Times New Roman" w:eastAsia="仿宋_GB2312" w:cs="仿宋"/>
          <w:sz w:val="32"/>
          <w:szCs w:val="32"/>
          <w:highlight w:val="none"/>
          <w:lang w:val="en-US" w:eastAsia="zh-CN"/>
        </w:rPr>
        <w:t>机构</w:t>
      </w:r>
      <w:r>
        <w:rPr>
          <w:rFonts w:hint="eastAsia" w:ascii="Times New Roman" w:hAnsi="Times New Roman" w:eastAsia="仿宋_GB2312" w:cs="仿宋"/>
          <w:sz w:val="32"/>
          <w:szCs w:val="32"/>
          <w:highlight w:val="none"/>
        </w:rPr>
        <w:t>运行经费支出预算情况说明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十二、政府采购支出预算情况说明</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十三、国有资产占用情况说明</w:t>
      </w:r>
    </w:p>
    <w:p>
      <w:pPr>
        <w:widowControl/>
        <w:spacing w:line="600" w:lineRule="exact"/>
        <w:jc w:val="lef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 xml:space="preserve">十四、项目绩效目标情况说明 </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第三部分 名词解释</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第四部分 预算公开联系方式及信息反馈渠道</w:t>
      </w:r>
    </w:p>
    <w:p>
      <w:pPr>
        <w:pStyle w:val="10"/>
        <w:spacing w:after="0" w:line="600" w:lineRule="exact"/>
        <w:rPr>
          <w:rFonts w:ascii="黑体" w:hAnsi="黑体" w:eastAsia="黑体" w:cs="黑体"/>
          <w:sz w:val="32"/>
          <w:szCs w:val="32"/>
          <w:highlight w:val="none"/>
        </w:rPr>
      </w:pPr>
      <w:r>
        <w:rPr>
          <w:rFonts w:hint="eastAsia" w:ascii="黑体" w:hAnsi="黑体" w:eastAsia="黑体" w:cs="黑体"/>
          <w:sz w:val="32"/>
          <w:szCs w:val="32"/>
          <w:highlight w:val="none"/>
        </w:rPr>
        <w:t xml:space="preserve">第五部分 </w:t>
      </w:r>
      <w:r>
        <w:rPr>
          <w:rFonts w:hint="eastAsia" w:ascii="黑体" w:hAnsi="黑体" w:eastAsia="黑体" w:cs="黑体"/>
          <w:sz w:val="32"/>
          <w:szCs w:val="32"/>
          <w:highlight w:val="none"/>
          <w:lang w:val="en-US" w:eastAsia="zh-CN"/>
        </w:rPr>
        <w:t>2024</w:t>
      </w:r>
      <w:r>
        <w:rPr>
          <w:rFonts w:hint="eastAsia" w:ascii="黑体" w:hAnsi="黑体" w:eastAsia="黑体" w:cs="黑体"/>
          <w:sz w:val="32"/>
          <w:szCs w:val="32"/>
          <w:highlight w:val="none"/>
        </w:rPr>
        <w:t>年度部门预算表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一、收支总表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二、收入总表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三、支出总表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四、财政拨款收支总表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五、一般公共预算支出表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六、一般公共预算基本支出表</w:t>
      </w:r>
    </w:p>
    <w:p>
      <w:pPr>
        <w:pStyle w:val="10"/>
        <w:spacing w:after="0" w:line="600" w:lineRule="exact"/>
        <w:rPr>
          <w:rFonts w:ascii="Times New Roman" w:hAnsi="Times New Roman" w:eastAsia="仿宋_GB2312" w:cs="仿宋"/>
          <w:spacing w:val="-16"/>
          <w:w w:val="95"/>
          <w:sz w:val="32"/>
          <w:szCs w:val="32"/>
          <w:highlight w:val="none"/>
        </w:rPr>
      </w:pPr>
      <w:r>
        <w:rPr>
          <w:rFonts w:hint="eastAsia" w:ascii="Times New Roman" w:hAnsi="Times New Roman" w:eastAsia="仿宋_GB2312" w:cs="仿宋"/>
          <w:spacing w:val="-17"/>
          <w:w w:val="95"/>
          <w:sz w:val="32"/>
          <w:szCs w:val="32"/>
          <w:highlight w:val="none"/>
        </w:rPr>
        <w:t>七、一般公共预算</w:t>
      </w:r>
      <w:r>
        <w:rPr>
          <w:rFonts w:hint="eastAsia" w:ascii="Times New Roman" w:hAnsi="Times New Roman" w:eastAsia="仿宋_GB2312" w:cs="仿宋"/>
          <w:spacing w:val="-8"/>
          <w:w w:val="95"/>
          <w:sz w:val="32"/>
          <w:szCs w:val="32"/>
          <w:highlight w:val="none"/>
        </w:rPr>
        <w:t>“</w:t>
      </w:r>
      <w:r>
        <w:rPr>
          <w:rFonts w:hint="eastAsia" w:ascii="Times New Roman" w:hAnsi="Times New Roman" w:eastAsia="仿宋_GB2312" w:cs="仿宋"/>
          <w:spacing w:val="-15"/>
          <w:w w:val="95"/>
          <w:sz w:val="32"/>
          <w:szCs w:val="32"/>
          <w:highlight w:val="none"/>
        </w:rPr>
        <w:t>三公</w:t>
      </w:r>
      <w:r>
        <w:rPr>
          <w:rFonts w:hint="eastAsia" w:ascii="Times New Roman" w:hAnsi="Times New Roman" w:eastAsia="仿宋_GB2312" w:cs="仿宋"/>
          <w:spacing w:val="-10"/>
          <w:w w:val="95"/>
          <w:sz w:val="32"/>
          <w:szCs w:val="32"/>
          <w:highlight w:val="none"/>
        </w:rPr>
        <w:t>”</w:t>
      </w:r>
      <w:r>
        <w:rPr>
          <w:rFonts w:hint="eastAsia" w:ascii="Times New Roman" w:hAnsi="Times New Roman" w:eastAsia="仿宋_GB2312" w:cs="仿宋"/>
          <w:spacing w:val="-16"/>
          <w:w w:val="95"/>
          <w:sz w:val="32"/>
          <w:szCs w:val="32"/>
          <w:highlight w:val="none"/>
        </w:rPr>
        <w:t>经费支出表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pacing w:val="-16"/>
          <w:w w:val="95"/>
          <w:sz w:val="32"/>
          <w:szCs w:val="32"/>
          <w:highlight w:val="none"/>
        </w:rPr>
        <w:t>八、政府性基金预算支出表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九、国有资本经营预算支出表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十、项目支出表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sz w:val="32"/>
          <w:szCs w:val="32"/>
          <w:highlight w:val="none"/>
        </w:rPr>
        <w:t>十一、项目绩效目标表</w:t>
      </w:r>
    </w:p>
    <w:p>
      <w:pPr>
        <w:pStyle w:val="10"/>
        <w:spacing w:after="0" w:line="600" w:lineRule="exact"/>
        <w:rPr>
          <w:rFonts w:ascii="Times New Roman" w:hAnsi="Times New Roman" w:eastAsia="仿宋_GB2312" w:cs="仿宋"/>
          <w:sz w:val="32"/>
          <w:szCs w:val="32"/>
          <w:highlight w:val="none"/>
        </w:rPr>
      </w:pPr>
      <w:r>
        <w:rPr>
          <w:rFonts w:hint="eastAsia" w:ascii="Times New Roman" w:hAnsi="Times New Roman" w:eastAsia="仿宋_GB2312" w:cs="仿宋"/>
          <w:w w:val="95"/>
          <w:sz w:val="32"/>
          <w:szCs w:val="32"/>
          <w:highlight w:val="none"/>
        </w:rPr>
        <w:t>十二、政府采购预算表</w:t>
      </w:r>
    </w:p>
    <w:p>
      <w:pPr>
        <w:pStyle w:val="2"/>
        <w:rPr>
          <w:rFonts w:hint="default"/>
          <w:highlight w:val="none"/>
        </w:rPr>
      </w:pPr>
    </w:p>
    <w:p>
      <w:pPr>
        <w:pStyle w:val="2"/>
        <w:rPr>
          <w:rFonts w:hint="default"/>
          <w:highlight w:val="none"/>
        </w:rPr>
        <w:sectPr>
          <w:headerReference r:id="rId3" w:type="default"/>
          <w:footerReference r:id="rId4" w:type="default"/>
          <w:pgSz w:w="11910" w:h="16840"/>
          <w:pgMar w:top="1582" w:right="1680" w:bottom="278" w:left="1640" w:header="720" w:footer="720" w:gutter="0"/>
          <w:pgNumType w:fmt="numberInDash"/>
          <w:cols w:space="0" w:num="1"/>
        </w:sect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0" w:name="_Toc30742"/>
      <w:r>
        <w:rPr>
          <w:rFonts w:hint="eastAsia" w:ascii="方正小标宋简体" w:hAnsi="方正小标宋简体" w:eastAsia="方正小标宋简体" w:cs="方正小标宋简体"/>
          <w:b w:val="0"/>
          <w:bCs w:val="0"/>
          <w:sz w:val="36"/>
          <w:szCs w:val="36"/>
          <w:highlight w:val="none"/>
        </w:rPr>
        <w:t>第一部分  部门概况</w:t>
      </w:r>
      <w:bookmarkEnd w:id="0"/>
    </w:p>
    <w:p>
      <w:pPr>
        <w:spacing w:line="600" w:lineRule="exact"/>
        <w:rPr>
          <w:rFonts w:ascii="方正小标宋简体" w:hAnsi="方正小标宋简体" w:eastAsia="方正小标宋简体" w:cs="方正小标宋简体"/>
          <w:sz w:val="36"/>
          <w:szCs w:val="36"/>
          <w:highlight w:val="none"/>
        </w:rPr>
      </w:pP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主要职能职责</w:t>
      </w:r>
    </w:p>
    <w:p>
      <w:pPr>
        <w:snapToGrid w:val="0"/>
        <w:spacing w:line="560" w:lineRule="exact"/>
        <w:ind w:firstLine="640"/>
        <w:rPr>
          <w:rFonts w:hint="eastAsia" w:ascii="楷体_GB2312" w:eastAsia="楷体_GB2312"/>
          <w:color w:val="auto"/>
          <w:sz w:val="32"/>
          <w:szCs w:val="32"/>
        </w:rPr>
      </w:pPr>
      <w:r>
        <w:rPr>
          <w:rFonts w:hint="eastAsia" w:ascii="仿宋" w:hAnsi="仿宋" w:eastAsia="仿宋" w:cs="仿宋"/>
          <w:color w:val="auto"/>
          <w:sz w:val="32"/>
          <w:szCs w:val="32"/>
        </w:rPr>
        <w:t>通辽市科学技术协会是中国共产党领导下的群众团体，是党和政府联系广大科学技术工作者的桥梁和纽带，是推动科学技术事业发展的重要力量。</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1、宣传</w:t>
      </w:r>
      <w:r>
        <w:rPr>
          <w:rFonts w:hint="eastAsia" w:ascii="仿宋" w:hAnsi="仿宋" w:eastAsia="仿宋" w:cs="仿宋"/>
          <w:color w:val="auto"/>
          <w:sz w:val="32"/>
          <w:szCs w:val="32"/>
          <w:lang w:val="en-US" w:eastAsia="zh-CN"/>
        </w:rPr>
        <w:t>科</w:t>
      </w:r>
      <w:r>
        <w:rPr>
          <w:rFonts w:hint="eastAsia" w:ascii="仿宋" w:hAnsi="仿宋" w:eastAsia="仿宋" w:cs="仿宋"/>
          <w:color w:val="auto"/>
          <w:sz w:val="32"/>
          <w:szCs w:val="32"/>
        </w:rPr>
        <w:t xml:space="preserve">学的路线方针政策，密切联系科学技术工作者，反映科学技术工作者的建议、意见和诉求，维护科学技术工作者的合法权益，建设科技工作者之家。     </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2、开展学术交流，活跃学术思想，倡导学术民主，优化学术环境，促进学科发展，推进创新体系建设。</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3、组织科学技术工作者开展科技创新，参与科学认证和咨询服务，加快科学技术成果转化应用，助力创新发展，为增强企业自主创新能力作贡献。</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4、弘扬科学精神，普及科学知识，推广先进技术，传播科学思想和科学方法，捍卫科学尊严，提高全民科学素质。</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5、健全科学共同体的自律功能，推动建立和完善科学研究诚信监督机制，促进科学道德建设和学风建设，宣传优秀科技工作者，培育科学文化，践行社会主义核心价值观。</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6、组织科学技术工作</w:t>
      </w:r>
      <w:r>
        <w:rPr>
          <w:rFonts w:hint="eastAsia" w:ascii="仿宋" w:hAnsi="仿宋" w:eastAsia="仿宋" w:cs="仿宋"/>
          <w:color w:val="auto"/>
          <w:sz w:val="32"/>
          <w:szCs w:val="32"/>
          <w:lang w:val="en-US" w:eastAsia="zh-CN"/>
        </w:rPr>
        <w:t>者</w:t>
      </w:r>
      <w:r>
        <w:rPr>
          <w:rFonts w:hint="eastAsia" w:ascii="仿宋" w:hAnsi="仿宋" w:eastAsia="仿宋" w:cs="仿宋"/>
          <w:color w:val="auto"/>
          <w:sz w:val="32"/>
          <w:szCs w:val="32"/>
        </w:rPr>
        <w:t>参与全市科技规划、政策的咨询制定和重大事务的政治协商、科学决策、民主监督工作，建设科技创新智库。</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7、组织所属学会有序承接科技评估、工程技术领域职业资格认定、技术标准研制、国家科技奖励推荐等政府委托工作或转移职能。</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8、注重激发青少年科技兴趣，发现培养杰出青年科学家和创新团队，推选优秀科学技术工作者，举荐科学技术人才。</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9、开展民间国际科学技术交流活动，促进国际科学技术合作，发展同国（境）外科学技术团体和科技工作者的友好交往。</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10、兴办符合中国科协宗旨的社会公益性事业。</w:t>
      </w:r>
    </w:p>
    <w:p>
      <w:pPr>
        <w:adjustRightInd w:val="0"/>
        <w:snapToGrid w:val="0"/>
        <w:spacing w:line="560" w:lineRule="exact"/>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11、依照章程按期召开科协代表大会，对所属的市级学会进行管理，指导旗县市区科协工作。</w:t>
      </w:r>
    </w:p>
    <w:p>
      <w:pPr>
        <w:adjustRightInd w:val="0"/>
        <w:snapToGrid w:val="0"/>
        <w:spacing w:line="560" w:lineRule="exact"/>
        <w:ind w:firstLine="640" w:firstLineChars="200"/>
        <w:rPr>
          <w:rFonts w:hint="eastAsia" w:ascii="黑体" w:hAnsi="黑体" w:eastAsia="黑体"/>
          <w:color w:val="auto"/>
          <w:sz w:val="32"/>
          <w:szCs w:val="32"/>
        </w:rPr>
      </w:pPr>
      <w:r>
        <w:rPr>
          <w:rFonts w:hint="eastAsia" w:ascii="仿宋" w:hAnsi="仿宋" w:eastAsia="仿宋" w:cs="仿宋"/>
          <w:color w:val="auto"/>
          <w:sz w:val="32"/>
          <w:szCs w:val="32"/>
        </w:rPr>
        <w:t>12、承办市委、政府和国家、自治区科协交办的其他事项。</w:t>
      </w:r>
    </w:p>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eastAsia="黑体" w:cs="黑体"/>
          <w:sz w:val="32"/>
          <w:szCs w:val="36"/>
          <w:highlight w:val="none"/>
        </w:rPr>
        <w:t>部门机构设置及预算单位构成情况</w:t>
      </w:r>
    </w:p>
    <w:p>
      <w:pPr>
        <w:spacing w:line="600" w:lineRule="exact"/>
        <w:ind w:firstLine="640" w:firstLineChars="200"/>
        <w:rPr>
          <w:rFonts w:eastAsia="仿宋_GB2312" w:cstheme="minorBidi"/>
          <w:sz w:val="32"/>
          <w:szCs w:val="32"/>
          <w:highlight w:val="none"/>
        </w:rPr>
      </w:pPr>
      <w:r>
        <w:rPr>
          <w:rFonts w:hint="eastAsia" w:eastAsia="仿宋_GB2312" w:cstheme="minorBidi"/>
          <w:sz w:val="32"/>
          <w:szCs w:val="32"/>
          <w:highlight w:val="none"/>
        </w:rPr>
        <w:t>1．根据部门职责分工，</w:t>
      </w:r>
      <w:r>
        <w:rPr>
          <w:rFonts w:hint="eastAsia" w:eastAsia="仿宋_GB2312" w:cstheme="minorBidi"/>
          <w:sz w:val="32"/>
          <w:szCs w:val="32"/>
          <w:highlight w:val="none"/>
          <w:lang w:val="en-US" w:eastAsia="zh-CN"/>
        </w:rPr>
        <w:t>本部门</w:t>
      </w:r>
      <w:r>
        <w:rPr>
          <w:rFonts w:hint="eastAsia" w:eastAsia="仿宋_GB2312" w:cstheme="minorBidi"/>
          <w:sz w:val="32"/>
          <w:szCs w:val="32"/>
          <w:highlight w:val="none"/>
        </w:rPr>
        <w:t>内设机构包括</w:t>
      </w:r>
      <w:r>
        <w:rPr>
          <w:rFonts w:hint="eastAsia" w:eastAsia="仿宋_GB2312" w:cstheme="minorBidi"/>
          <w:sz w:val="32"/>
          <w:szCs w:val="32"/>
          <w:highlight w:val="none"/>
          <w:lang w:val="en-US" w:eastAsia="zh-CN"/>
        </w:rPr>
        <w:t>科普部、学会部、党政办公室</w:t>
      </w:r>
      <w:r>
        <w:rPr>
          <w:rFonts w:hint="eastAsia" w:eastAsia="仿宋_GB2312" w:cstheme="minorBidi"/>
          <w:sz w:val="32"/>
          <w:szCs w:val="32"/>
          <w:highlight w:val="none"/>
        </w:rPr>
        <w:t>。</w:t>
      </w:r>
      <w:r>
        <w:rPr>
          <w:rFonts w:hint="eastAsia" w:eastAsia="仿宋_GB2312" w:cstheme="minorBidi"/>
          <w:sz w:val="32"/>
          <w:szCs w:val="32"/>
          <w:highlight w:val="none"/>
          <w:lang w:val="en-US" w:eastAsia="zh-CN"/>
        </w:rPr>
        <w:t>本部门</w:t>
      </w:r>
      <w:r>
        <w:rPr>
          <w:rFonts w:hint="eastAsia" w:eastAsia="仿宋_GB2312" w:cstheme="minorBidi"/>
          <w:sz w:val="32"/>
          <w:szCs w:val="32"/>
          <w:highlight w:val="none"/>
        </w:rPr>
        <w:t>下属单位包括：</w:t>
      </w:r>
      <w:r>
        <w:rPr>
          <w:rFonts w:hint="eastAsia" w:eastAsia="仿宋_GB2312" w:cstheme="minorBidi"/>
          <w:sz w:val="32"/>
          <w:szCs w:val="32"/>
          <w:highlight w:val="none"/>
          <w:lang w:val="en-US" w:eastAsia="zh-CN"/>
        </w:rPr>
        <w:t>内蒙古自治区</w:t>
      </w:r>
      <w:r>
        <w:rPr>
          <w:rFonts w:hint="eastAsia" w:ascii="仿宋_GB2312" w:hAnsi="仿宋_GB2312" w:eastAsia="仿宋_GB2312" w:cstheme="minorBidi"/>
          <w:sz w:val="32"/>
          <w:szCs w:val="32"/>
          <w:highlight w:val="none"/>
          <w:lang w:val="en-US" w:eastAsia="zh-CN"/>
        </w:rPr>
        <w:t>通辽市科学技术协会（本级）和通辽市科学技术馆</w:t>
      </w:r>
      <w:r>
        <w:rPr>
          <w:rFonts w:hint="eastAsia" w:eastAsia="仿宋_GB2312" w:cstheme="minorBidi"/>
          <w:sz w:val="32"/>
          <w:szCs w:val="32"/>
          <w:highlight w:val="none"/>
        </w:rPr>
        <w:t>。</w:t>
      </w:r>
    </w:p>
    <w:p>
      <w:pPr>
        <w:spacing w:line="600" w:lineRule="exact"/>
        <w:ind w:firstLine="640" w:firstLineChars="200"/>
        <w:rPr>
          <w:rFonts w:ascii="仿宋_GB2312" w:hAnsi="仿宋_GB2312" w:eastAsia="仿宋_GB2312" w:cs="仿宋_GB2312"/>
          <w:b/>
          <w:bCs/>
          <w:sz w:val="32"/>
          <w:szCs w:val="32"/>
          <w:highlight w:val="none"/>
        </w:rPr>
      </w:pPr>
      <w:r>
        <w:rPr>
          <w:rFonts w:hint="eastAsia" w:eastAsia="仿宋_GB2312" w:cstheme="minorBidi"/>
          <w:sz w:val="32"/>
          <w:szCs w:val="32"/>
          <w:highlight w:val="none"/>
        </w:rPr>
        <w:t>2．从预算单位构成看，纳入本部门</w:t>
      </w:r>
      <w:r>
        <w:rPr>
          <w:rFonts w:hint="eastAsia" w:ascii="仿宋_GB2312" w:hAnsi="仿宋_GB2312" w:eastAsia="仿宋_GB2312" w:cs="仿宋"/>
          <w:sz w:val="32"/>
          <w:szCs w:val="32"/>
          <w:highlight w:val="none"/>
          <w:lang w:val="en-US" w:eastAsia="zh-CN"/>
        </w:rPr>
        <w:t>2024</w:t>
      </w:r>
      <w:r>
        <w:rPr>
          <w:rFonts w:hint="eastAsia" w:eastAsia="仿宋_GB2312" w:cstheme="minorBidi"/>
          <w:sz w:val="32"/>
          <w:szCs w:val="32"/>
          <w:highlight w:val="none"/>
        </w:rPr>
        <w:t>年部门汇总预算编制范围的预算单位共计</w:t>
      </w:r>
      <w:r>
        <w:rPr>
          <w:rFonts w:hint="eastAsia" w:ascii="仿宋_GB2312" w:hAnsi="仿宋_GB2312" w:eastAsia="仿宋_GB2312" w:cs="仿宋"/>
          <w:sz w:val="32"/>
          <w:szCs w:val="32"/>
          <w:highlight w:val="none"/>
          <w:lang w:val="en-US" w:eastAsia="zh-CN"/>
        </w:rPr>
        <w:t>2</w:t>
      </w:r>
      <w:r>
        <w:rPr>
          <w:rFonts w:hint="eastAsia" w:eastAsia="仿宋_GB2312" w:cstheme="minorBidi"/>
          <w:sz w:val="32"/>
          <w:szCs w:val="32"/>
          <w:highlight w:val="none"/>
        </w:rPr>
        <w:t>家，具体包括：</w:t>
      </w:r>
      <w:r>
        <w:rPr>
          <w:rFonts w:hint="eastAsia" w:eastAsia="仿宋_GB2312" w:cstheme="minorBidi"/>
          <w:sz w:val="32"/>
          <w:szCs w:val="32"/>
          <w:highlight w:val="none"/>
          <w:lang w:val="en-US" w:eastAsia="zh-CN"/>
        </w:rPr>
        <w:t>内蒙古自治区</w:t>
      </w:r>
      <w:r>
        <w:rPr>
          <w:rFonts w:hint="eastAsia" w:ascii="仿宋_GB2312" w:hAnsi="仿宋_GB2312" w:eastAsia="仿宋_GB2312" w:cs="仿宋"/>
          <w:sz w:val="32"/>
          <w:szCs w:val="32"/>
          <w:highlight w:val="none"/>
          <w:lang w:val="en-US" w:eastAsia="zh-CN"/>
        </w:rPr>
        <w:t>通辽市科学技术协会</w:t>
      </w:r>
      <w:r>
        <w:rPr>
          <w:rFonts w:hint="eastAsia" w:eastAsia="仿宋_GB2312" w:cstheme="minorBidi"/>
          <w:sz w:val="32"/>
          <w:szCs w:val="32"/>
          <w:highlight w:val="none"/>
        </w:rPr>
        <w:t>本级、</w:t>
      </w:r>
      <w:r>
        <w:rPr>
          <w:rFonts w:hint="eastAsia" w:ascii="仿宋_GB2312" w:hAnsi="仿宋_GB2312" w:eastAsia="仿宋_GB2312" w:cs="仿宋"/>
          <w:sz w:val="32"/>
          <w:szCs w:val="32"/>
          <w:highlight w:val="none"/>
          <w:lang w:val="en-US" w:eastAsia="zh-CN"/>
        </w:rPr>
        <w:t>通辽市科学技术馆</w:t>
      </w:r>
      <w:r>
        <w:rPr>
          <w:rFonts w:hint="eastAsia" w:eastAsia="仿宋_GB2312" w:cstheme="minorBidi"/>
          <w:sz w:val="32"/>
          <w:szCs w:val="32"/>
          <w:highlight w:val="none"/>
        </w:rPr>
        <w:t>。详细情况见表：</w:t>
      </w:r>
    </w:p>
    <w:tbl>
      <w:tblPr>
        <w:tblStyle w:val="2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3260"/>
        <w:gridCol w:w="4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 w:type="dxa"/>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序号</w:t>
            </w:r>
          </w:p>
        </w:tc>
        <w:tc>
          <w:tcPr>
            <w:tcW w:w="326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单位名称</w:t>
            </w:r>
          </w:p>
        </w:tc>
        <w:tc>
          <w:tcPr>
            <w:tcW w:w="4600" w:type="dxa"/>
            <w:vAlign w:val="center"/>
          </w:tcPr>
          <w:p>
            <w:pPr>
              <w:widowControl/>
              <w:jc w:val="center"/>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单位性质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2" w:type="dxa"/>
            <w:vAlign w:val="center"/>
          </w:tcPr>
          <w:p>
            <w:pPr>
              <w:widowControl/>
              <w:jc w:val="center"/>
              <w:rPr>
                <w:rFonts w:hint="eastAsia" w:ascii="仿宋" w:hAnsi="仿宋" w:eastAsia="仿宋" w:cs="仿宋"/>
                <w:color w:val="000000"/>
                <w:kern w:val="0"/>
                <w:sz w:val="31"/>
                <w:szCs w:val="31"/>
                <w:highlight w:val="none"/>
                <w:lang w:eastAsia="zh-CN" w:bidi="ar"/>
              </w:rPr>
            </w:pPr>
            <w:r>
              <w:rPr>
                <w:rFonts w:hint="eastAsia" w:eastAsia="仿宋_GB2312" w:cs="仿宋"/>
                <w:color w:val="000000"/>
                <w:kern w:val="0"/>
                <w:sz w:val="31"/>
                <w:szCs w:val="31"/>
                <w:highlight w:val="none"/>
                <w:lang w:val="en-US" w:eastAsia="zh-CN" w:bidi="ar"/>
              </w:rPr>
              <w:t>1</w:t>
            </w:r>
          </w:p>
        </w:tc>
        <w:tc>
          <w:tcPr>
            <w:tcW w:w="3260" w:type="dxa"/>
          </w:tcPr>
          <w:p>
            <w:pPr>
              <w:widowControl/>
              <w:jc w:val="left"/>
              <w:rPr>
                <w:rFonts w:hint="default" w:ascii="仿宋" w:hAnsi="仿宋" w:eastAsia="仿宋" w:cs="仿宋"/>
                <w:color w:val="000000"/>
                <w:kern w:val="0"/>
                <w:sz w:val="31"/>
                <w:szCs w:val="31"/>
                <w:highlight w:val="none"/>
                <w:lang w:val="en-US" w:eastAsia="zh-CN" w:bidi="ar"/>
              </w:rPr>
            </w:pPr>
            <w:r>
              <w:rPr>
                <w:rFonts w:hint="eastAsia" w:ascii="仿宋_GB2312" w:hAnsi="仿宋_GB2312" w:eastAsia="仿宋_GB2312" w:cs="仿宋"/>
                <w:color w:val="000000"/>
                <w:kern w:val="0"/>
                <w:sz w:val="31"/>
                <w:szCs w:val="31"/>
                <w:highlight w:val="none"/>
                <w:lang w:val="en-US" w:eastAsia="zh-CN" w:bidi="ar"/>
              </w:rPr>
              <w:t>内蒙古自治区通辽市科学技术协会（本级）</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参照公务员法管理的事业单位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2" w:type="dxa"/>
            <w:vAlign w:val="center"/>
          </w:tcPr>
          <w:p>
            <w:pPr>
              <w:widowControl/>
              <w:jc w:val="center"/>
              <w:rPr>
                <w:rFonts w:hint="eastAsia" w:ascii="仿宋" w:hAnsi="仿宋" w:eastAsia="仿宋" w:cs="仿宋"/>
                <w:color w:val="000000"/>
                <w:kern w:val="0"/>
                <w:sz w:val="31"/>
                <w:szCs w:val="31"/>
                <w:highlight w:val="none"/>
                <w:lang w:eastAsia="zh-CN" w:bidi="ar"/>
              </w:rPr>
            </w:pPr>
            <w:r>
              <w:rPr>
                <w:rFonts w:hint="eastAsia" w:eastAsia="仿宋_GB2312" w:cs="仿宋"/>
                <w:color w:val="000000"/>
                <w:kern w:val="0"/>
                <w:sz w:val="31"/>
                <w:szCs w:val="31"/>
                <w:highlight w:val="none"/>
                <w:lang w:val="en-US" w:eastAsia="zh-CN" w:bidi="ar"/>
              </w:rPr>
              <w:t>2</w:t>
            </w:r>
          </w:p>
        </w:tc>
        <w:tc>
          <w:tcPr>
            <w:tcW w:w="3260" w:type="dxa"/>
          </w:tcPr>
          <w:p>
            <w:pPr>
              <w:widowControl/>
              <w:jc w:val="left"/>
              <w:rPr>
                <w:rFonts w:hint="default" w:ascii="仿宋" w:hAnsi="仿宋" w:eastAsia="仿宋" w:cs="仿宋"/>
                <w:color w:val="000000"/>
                <w:kern w:val="0"/>
                <w:sz w:val="31"/>
                <w:szCs w:val="31"/>
                <w:highlight w:val="none"/>
                <w:lang w:val="en-US" w:eastAsia="zh-CN" w:bidi="ar"/>
              </w:rPr>
            </w:pPr>
            <w:r>
              <w:rPr>
                <w:rFonts w:hint="eastAsia" w:ascii="仿宋_GB2312" w:hAnsi="仿宋_GB2312" w:eastAsia="仿宋_GB2312" w:cs="仿宋"/>
                <w:color w:val="000000"/>
                <w:kern w:val="0"/>
                <w:sz w:val="31"/>
                <w:szCs w:val="31"/>
                <w:highlight w:val="none"/>
                <w:lang w:val="en-US" w:eastAsia="zh-CN" w:bidi="ar"/>
              </w:rPr>
              <w:t>通辽市科学技术馆</w:t>
            </w:r>
          </w:p>
        </w:tc>
        <w:tc>
          <w:tcPr>
            <w:tcW w:w="4600" w:type="dxa"/>
          </w:tcPr>
          <w:p>
            <w:pPr>
              <w:widowControl/>
              <w:jc w:val="left"/>
              <w:rPr>
                <w:rFonts w:ascii="仿宋" w:hAnsi="仿宋" w:eastAsia="仿宋" w:cs="仿宋"/>
                <w:color w:val="000000"/>
                <w:kern w:val="0"/>
                <w:sz w:val="31"/>
                <w:szCs w:val="31"/>
                <w:highlight w:val="none"/>
                <w:lang w:bidi="ar"/>
              </w:rPr>
            </w:pPr>
            <w:r>
              <w:rPr>
                <w:rFonts w:hint="eastAsia" w:ascii="Times New Roman" w:hAnsi="Times New Roman" w:eastAsia="仿宋_GB2312" w:cs="仿宋"/>
                <w:color w:val="000000"/>
                <w:kern w:val="0"/>
                <w:sz w:val="31"/>
                <w:szCs w:val="31"/>
                <w:highlight w:val="none"/>
                <w:lang w:bidi="ar"/>
              </w:rPr>
              <w:t>公益一类事业单位</w:t>
            </w:r>
          </w:p>
        </w:tc>
      </w:tr>
    </w:tbl>
    <w:p>
      <w:pPr>
        <w:numPr>
          <w:ilvl w:val="0"/>
          <w:numId w:val="1"/>
        </w:numPr>
        <w:spacing w:line="600" w:lineRule="exact"/>
        <w:ind w:left="17" w:leftChars="8" w:firstLine="624" w:firstLineChars="195"/>
        <w:outlineLvl w:val="2"/>
        <w:rPr>
          <w:rFonts w:eastAsia="黑体" w:cs="黑体"/>
          <w:sz w:val="32"/>
          <w:szCs w:val="36"/>
          <w:highlight w:val="none"/>
        </w:rPr>
      </w:pPr>
      <w:r>
        <w:rPr>
          <w:rFonts w:hint="eastAsia" w:ascii="仿宋_GB2312" w:hAnsi="仿宋_GB2312" w:eastAsia="黑体" w:cs="黑体"/>
          <w:sz w:val="32"/>
          <w:szCs w:val="36"/>
          <w:highlight w:val="none"/>
          <w:lang w:val="en-US" w:eastAsia="zh-CN"/>
        </w:rPr>
        <w:t>2024</w:t>
      </w:r>
      <w:r>
        <w:rPr>
          <w:rFonts w:hint="eastAsia" w:eastAsia="黑体" w:cs="黑体"/>
          <w:sz w:val="32"/>
          <w:szCs w:val="36"/>
          <w:highlight w:val="none"/>
        </w:rPr>
        <w:t>年度部门主要工作任务及目标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1.忠诚拥护“两个确立”、坚决做到“两个维护”，把广大科技工作者更加紧密地团结凝聚在党的周围；</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2.以提高服务效能为核心，聚焦主责主业，坚持为科技工作者提供优质服务；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3.以提升创新能力为核心，围绕全市发展大局，坚持为创新驱动发展服务；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4.以全面实施《纲要》为主线，扎实开展科学普及工作，坚持为全民科学素质提升服务；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5.以科技赋能为导向，建设高水平科技智库，坚持为党和政府科学决策服务；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val="0"/>
          <w:sz w:val="36"/>
          <w:szCs w:val="36"/>
          <w:highlight w:val="none"/>
        </w:rPr>
      </w:pPr>
      <w:r>
        <w:rPr>
          <w:rFonts w:hint="eastAsia" w:ascii="仿宋_GB2312" w:hAnsi="仿宋_GB2312" w:eastAsia="仿宋_GB2312" w:cs="仿宋_GB2312"/>
          <w:b w:val="0"/>
          <w:bCs w:val="0"/>
          <w:sz w:val="32"/>
          <w:szCs w:val="32"/>
          <w:lang w:val="en-US" w:eastAsia="zh-CN"/>
        </w:rPr>
        <w:t>6.以加强自身建设为根本，坚持固本强基，切实提升服务保障能力</w:t>
      </w:r>
      <w:bookmarkStart w:id="1" w:name="_Toc21288"/>
      <w:r>
        <w:rPr>
          <w:rFonts w:hint="eastAsia" w:ascii="仿宋_GB2312" w:hAnsi="仿宋_GB2312" w:eastAsia="仿宋_GB2312" w:cs="仿宋_GB2312"/>
          <w:b w:val="0"/>
          <w:bCs w:val="0"/>
          <w:sz w:val="32"/>
          <w:szCs w:val="32"/>
          <w:lang w:val="en-US" w:eastAsia="zh-CN"/>
        </w:rPr>
        <w:t>。</w:t>
      </w: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r>
        <w:rPr>
          <w:rFonts w:hint="eastAsia" w:ascii="方正小标宋简体" w:hAnsi="方正小标宋简体" w:eastAsia="方正小标宋简体" w:cs="方正小标宋简体"/>
          <w:b w:val="0"/>
          <w:bCs w:val="0"/>
          <w:sz w:val="36"/>
          <w:szCs w:val="36"/>
          <w:highlight w:val="none"/>
        </w:rPr>
        <w:t>第二部分</w:t>
      </w:r>
      <w:r>
        <w:rPr>
          <w:rFonts w:hint="eastAsia" w:ascii="方正小标宋简体" w:hAnsi="方正小标宋简体" w:eastAsia="方正小标宋简体" w:cs="方正小标宋简体"/>
          <w:b w:val="0"/>
          <w:bCs w:val="0"/>
          <w:sz w:val="36"/>
          <w:szCs w:val="36"/>
          <w:highlight w:val="none"/>
          <w:lang w:val="en-US" w:eastAsia="zh-CN"/>
        </w:rPr>
        <w:t xml:space="preserve">  2024</w:t>
      </w:r>
      <w:r>
        <w:rPr>
          <w:rFonts w:hint="eastAsia" w:ascii="方正小标宋简体" w:hAnsi="方正小标宋简体" w:eastAsia="方正小标宋简体" w:cs="方正小标宋简体"/>
          <w:b w:val="0"/>
          <w:bCs w:val="0"/>
          <w:sz w:val="36"/>
          <w:szCs w:val="36"/>
          <w:highlight w:val="none"/>
        </w:rPr>
        <w:t>年度部门预算情况说明</w:t>
      </w:r>
      <w:bookmarkEnd w:id="1"/>
    </w:p>
    <w:p>
      <w:pPr>
        <w:spacing w:line="600" w:lineRule="exact"/>
        <w:rPr>
          <w:rFonts w:ascii="方正小标宋简体" w:hAnsi="方正小标宋简体" w:eastAsia="方正小标宋简体" w:cs="方正小标宋简体"/>
          <w:sz w:val="36"/>
          <w:szCs w:val="36"/>
          <w:highlight w:val="none"/>
        </w:rPr>
      </w:pP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一、收支预算总体情况说明</w:t>
      </w:r>
    </w:p>
    <w:p>
      <w:pPr>
        <w:pStyle w:val="10"/>
        <w:tabs>
          <w:tab w:val="left" w:pos="5840"/>
          <w:tab w:val="left" w:pos="7858"/>
          <w:tab w:val="left" w:pos="9328"/>
        </w:tabs>
        <w:spacing w:after="0"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年度收入、支出预算总计</w:t>
      </w:r>
      <w:r>
        <w:rPr>
          <w:rFonts w:hint="eastAsia" w:ascii="仿宋_GB2312" w:hAnsi="仿宋_GB2312" w:eastAsia="仿宋_GB2312" w:cs="仿宋_GB2312"/>
          <w:sz w:val="32"/>
          <w:szCs w:val="32"/>
          <w:highlight w:val="none"/>
          <w:u w:val="single"/>
          <w:lang w:val="en-US" w:eastAsia="zh-CN"/>
        </w:rPr>
        <w:t>1212.18</w:t>
      </w:r>
      <w:r>
        <w:rPr>
          <w:rFonts w:hint="eastAsia" w:ascii="仿宋_GB2312" w:hAnsi="仿宋_GB2312" w:eastAsia="仿宋_GB2312" w:cs="仿宋_GB2312"/>
          <w:sz w:val="32"/>
          <w:szCs w:val="32"/>
          <w:highlight w:val="none"/>
        </w:rPr>
        <w:t>万元，与上年相比收、支预算总计各增加</w:t>
      </w:r>
      <w:r>
        <w:rPr>
          <w:rFonts w:hint="eastAsia" w:ascii="仿宋_GB2312" w:hAnsi="仿宋_GB2312" w:eastAsia="仿宋_GB2312" w:cs="仿宋_GB2312"/>
          <w:sz w:val="32"/>
          <w:szCs w:val="32"/>
          <w:highlight w:val="none"/>
          <w:u w:val="single"/>
          <w:lang w:val="en-US" w:eastAsia="zh-CN"/>
        </w:rPr>
        <w:t>400.63</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lang w:val="en-US" w:eastAsia="zh-CN"/>
        </w:rPr>
        <w:t>49.37</w:t>
      </w:r>
      <w:r>
        <w:rPr>
          <w:rFonts w:hint="eastAsia" w:ascii="仿宋_GB2312" w:hAnsi="仿宋_GB2312" w:eastAsia="仿宋_GB2312" w:cs="仿宋_GB2312"/>
          <w:sz w:val="32"/>
          <w:szCs w:val="32"/>
          <w:highlight w:val="none"/>
        </w:rPr>
        <w:t>%。其中：</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（一）收入预算总计</w:t>
      </w:r>
      <w:r>
        <w:rPr>
          <w:rFonts w:hint="eastAsia" w:eastAsia="仿宋_GB2312" w:cs="仿宋"/>
          <w:sz w:val="32"/>
          <w:szCs w:val="32"/>
          <w:highlight w:val="none"/>
          <w:u w:val="single"/>
          <w:lang w:val="en-US" w:eastAsia="zh-CN"/>
        </w:rPr>
        <w:t>1212.18</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1．本年收入合计</w:t>
      </w:r>
      <w:r>
        <w:rPr>
          <w:rFonts w:hint="eastAsia" w:eastAsia="仿宋_GB2312"/>
          <w:sz w:val="32"/>
          <w:szCs w:val="32"/>
          <w:highlight w:val="none"/>
          <w:u w:val="single"/>
          <w:lang w:val="en-US" w:eastAsia="zh-CN"/>
        </w:rPr>
        <w:t>1212.18</w:t>
      </w:r>
      <w:r>
        <w:rPr>
          <w:rFonts w:eastAsia="仿宋_GB2312"/>
          <w:sz w:val="32"/>
          <w:szCs w:val="32"/>
          <w:highlight w:val="none"/>
        </w:rPr>
        <w:t>万元。</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（1）一般公共预算拨款收入</w:t>
      </w:r>
      <w:r>
        <w:rPr>
          <w:rFonts w:hint="eastAsia" w:eastAsia="仿宋_GB2312"/>
          <w:sz w:val="32"/>
          <w:szCs w:val="32"/>
          <w:highlight w:val="none"/>
          <w:u w:val="single"/>
          <w:lang w:val="en-US" w:eastAsia="zh-CN"/>
        </w:rPr>
        <w:t>1212.18</w:t>
      </w:r>
      <w:r>
        <w:rPr>
          <w:rFonts w:eastAsia="仿宋_GB2312"/>
          <w:sz w:val="32"/>
          <w:szCs w:val="32"/>
          <w:highlight w:val="none"/>
        </w:rPr>
        <w:t>万元，与上年相比增加</w:t>
      </w:r>
      <w:r>
        <w:rPr>
          <w:rFonts w:eastAsia="仿宋_GB2312"/>
          <w:sz w:val="32"/>
          <w:szCs w:val="32"/>
          <w:highlight w:val="none"/>
          <w:u w:val="single"/>
        </w:rPr>
        <w:t xml:space="preserve">     </w:t>
      </w:r>
      <w:r>
        <w:rPr>
          <w:rFonts w:hint="eastAsia" w:eastAsia="仿宋_GB2312"/>
          <w:sz w:val="32"/>
          <w:szCs w:val="32"/>
          <w:highlight w:val="none"/>
          <w:u w:val="single"/>
          <w:lang w:val="en-US" w:eastAsia="zh-CN"/>
        </w:rPr>
        <w:t>400.63</w:t>
      </w:r>
      <w:r>
        <w:rPr>
          <w:rFonts w:eastAsia="仿宋_GB2312"/>
          <w:sz w:val="32"/>
          <w:szCs w:val="32"/>
          <w:highlight w:val="none"/>
        </w:rPr>
        <w:t>万元，增长</w:t>
      </w:r>
      <w:r>
        <w:rPr>
          <w:rFonts w:hint="eastAsia" w:eastAsia="仿宋_GB2312"/>
          <w:sz w:val="32"/>
          <w:szCs w:val="32"/>
          <w:highlight w:val="none"/>
          <w:u w:val="single"/>
          <w:lang w:val="en-US" w:eastAsia="zh-CN"/>
        </w:rPr>
        <w:t>49.37</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eastAsia="仿宋_GB2312"/>
          <w:sz w:val="32"/>
          <w:szCs w:val="32"/>
        </w:rPr>
        <w:t>由于</w:t>
      </w:r>
      <w:r>
        <w:rPr>
          <w:rFonts w:hint="eastAsia" w:ascii="仿宋_GB2312" w:eastAsia="仿宋_GB2312"/>
          <w:sz w:val="32"/>
          <w:szCs w:val="32"/>
          <w:lang w:val="en-US" w:eastAsia="zh-CN"/>
        </w:rPr>
        <w:t>人员经费和项目经费增加</w:t>
      </w:r>
      <w:r>
        <w:rPr>
          <w:rFonts w:eastAsia="仿宋_GB2312"/>
          <w:sz w:val="32"/>
          <w:szCs w:val="32"/>
          <w:highlight w:val="none"/>
        </w:rPr>
        <w:t>。</w:t>
      </w:r>
    </w:p>
    <w:p>
      <w:pPr>
        <w:pStyle w:val="10"/>
        <w:tabs>
          <w:tab w:val="left" w:pos="1389"/>
          <w:tab w:val="left" w:pos="4911"/>
          <w:tab w:val="left" w:pos="5991"/>
        </w:tabs>
        <w:spacing w:after="0" w:line="600" w:lineRule="exact"/>
        <w:ind w:firstLine="640" w:firstLineChars="200"/>
        <w:rPr>
          <w:rFonts w:eastAsia="仿宋_GB2312"/>
          <w:sz w:val="32"/>
          <w:szCs w:val="32"/>
          <w:highlight w:val="none"/>
        </w:rPr>
      </w:pPr>
      <w:r>
        <w:rPr>
          <w:rFonts w:eastAsia="仿宋_GB2312"/>
          <w:sz w:val="32"/>
          <w:szCs w:val="32"/>
          <w:highlight w:val="none"/>
        </w:rPr>
        <w:t>（2）政府性基金预算拨款收入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6205"/>
        </w:tabs>
        <w:spacing w:after="0" w:line="600" w:lineRule="exact"/>
        <w:ind w:firstLine="640" w:firstLineChars="200"/>
        <w:rPr>
          <w:rFonts w:eastAsia="仿宋_GB2312"/>
          <w:sz w:val="32"/>
          <w:szCs w:val="32"/>
          <w:highlight w:val="none"/>
        </w:rPr>
      </w:pPr>
      <w:r>
        <w:rPr>
          <w:rFonts w:eastAsia="仿宋_GB2312"/>
          <w:sz w:val="32"/>
          <w:szCs w:val="32"/>
          <w:highlight w:val="none"/>
        </w:rPr>
        <w:t>（3）国有资本经营预算拨款收入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eastAsia="仿宋_GB2312"/>
          <w:sz w:val="32"/>
          <w:szCs w:val="32"/>
          <w:highlight w:val="none"/>
        </w:rPr>
        <w:t>（4）财政专户管理资金收入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3310"/>
          <w:tab w:val="left" w:pos="3807"/>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（5）事业收入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（6）事业单位经营收入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4320"/>
          <w:tab w:val="left" w:pos="9433"/>
        </w:tabs>
        <w:spacing w:after="0" w:line="600" w:lineRule="exact"/>
        <w:ind w:firstLine="640" w:firstLineChars="200"/>
        <w:rPr>
          <w:rFonts w:eastAsia="仿宋_GB2312"/>
          <w:sz w:val="32"/>
          <w:szCs w:val="32"/>
          <w:highlight w:val="none"/>
        </w:rPr>
      </w:pPr>
      <w:r>
        <w:rPr>
          <w:rFonts w:eastAsia="仿宋_GB2312"/>
          <w:sz w:val="32"/>
          <w:szCs w:val="32"/>
          <w:highlight w:val="none"/>
        </w:rPr>
        <w:t>（7）上级补助收入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1389"/>
          <w:tab w:val="left" w:pos="4911"/>
          <w:tab w:val="left" w:pos="5900"/>
        </w:tabs>
        <w:spacing w:after="0" w:line="600" w:lineRule="exact"/>
        <w:ind w:firstLine="640" w:firstLineChars="200"/>
        <w:rPr>
          <w:rFonts w:eastAsia="仿宋_GB2312"/>
          <w:sz w:val="32"/>
          <w:szCs w:val="32"/>
          <w:highlight w:val="none"/>
        </w:rPr>
      </w:pPr>
      <w:r>
        <w:rPr>
          <w:rFonts w:eastAsia="仿宋_GB2312"/>
          <w:sz w:val="32"/>
          <w:szCs w:val="32"/>
          <w:highlight w:val="none"/>
        </w:rPr>
        <w:t>（8）附属单位上缴收入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3310"/>
          <w:tab w:val="left" w:pos="4121"/>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（9）其他收入</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3310"/>
          <w:tab w:val="left" w:pos="4280"/>
          <w:tab w:val="left" w:pos="9431"/>
        </w:tabs>
        <w:spacing w:after="0" w:line="600" w:lineRule="exact"/>
        <w:ind w:firstLine="640" w:firstLineChars="200"/>
        <w:rPr>
          <w:rFonts w:eastAsia="仿宋_GB2312"/>
          <w:sz w:val="32"/>
          <w:szCs w:val="32"/>
          <w:highlight w:val="none"/>
        </w:rPr>
      </w:pPr>
      <w:r>
        <w:rPr>
          <w:rFonts w:eastAsia="仿宋_GB2312"/>
          <w:sz w:val="32"/>
          <w:szCs w:val="32"/>
          <w:highlight w:val="none"/>
        </w:rPr>
        <w:t>2．上年结转结余</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（二）支出预算总计</w:t>
      </w:r>
      <w:r>
        <w:rPr>
          <w:rFonts w:hint="eastAsia" w:eastAsia="仿宋_GB2312" w:cs="仿宋"/>
          <w:sz w:val="32"/>
          <w:szCs w:val="32"/>
          <w:highlight w:val="none"/>
          <w:u w:val="single"/>
          <w:lang w:val="en-US" w:eastAsia="zh-CN"/>
        </w:rPr>
        <w:t>1212.18</w:t>
      </w:r>
      <w:r>
        <w:rPr>
          <w:rFonts w:hint="eastAsia" w:ascii="楷体" w:hAnsi="楷体" w:eastAsia="楷体" w:cs="楷体"/>
          <w:b/>
          <w:bCs/>
          <w:sz w:val="32"/>
          <w:szCs w:val="32"/>
          <w:highlight w:val="none"/>
        </w:rPr>
        <w:t>万元。包括：</w:t>
      </w:r>
    </w:p>
    <w:p>
      <w:pPr>
        <w:pStyle w:val="10"/>
        <w:tabs>
          <w:tab w:val="left" w:pos="3792"/>
        </w:tabs>
        <w:spacing w:after="0" w:line="600" w:lineRule="exact"/>
        <w:ind w:firstLine="640" w:firstLineChars="200"/>
        <w:rPr>
          <w:rFonts w:eastAsia="仿宋_GB2312"/>
          <w:sz w:val="32"/>
          <w:szCs w:val="32"/>
          <w:highlight w:val="none"/>
        </w:rPr>
      </w:pPr>
      <w:r>
        <w:rPr>
          <w:rFonts w:eastAsia="仿宋_GB2312"/>
          <w:sz w:val="32"/>
          <w:szCs w:val="32"/>
          <w:highlight w:val="none"/>
        </w:rPr>
        <w:t>1．本年支出合计</w:t>
      </w:r>
      <w:r>
        <w:rPr>
          <w:rFonts w:hint="eastAsia" w:eastAsia="仿宋_GB2312"/>
          <w:sz w:val="32"/>
          <w:szCs w:val="32"/>
          <w:highlight w:val="none"/>
          <w:u w:val="single"/>
          <w:lang w:val="en-US" w:eastAsia="zh-CN"/>
        </w:rPr>
        <w:t>1212.18</w:t>
      </w:r>
      <w:r>
        <w:rPr>
          <w:rFonts w:eastAsia="仿宋_GB2312"/>
          <w:sz w:val="32"/>
          <w:szCs w:val="32"/>
          <w:highlight w:val="none"/>
        </w:rPr>
        <w:t>万元。</w:t>
      </w:r>
    </w:p>
    <w:p>
      <w:pPr>
        <w:pStyle w:val="10"/>
        <w:tabs>
          <w:tab w:val="left" w:pos="3288"/>
          <w:tab w:val="left" w:pos="5641"/>
          <w:tab w:val="left" w:pos="6778"/>
        </w:tabs>
        <w:spacing w:after="0" w:line="600" w:lineRule="exact"/>
        <w:ind w:firstLine="640" w:firstLineChars="200"/>
        <w:rPr>
          <w:rFonts w:eastAsia="仿宋_GB2312"/>
          <w:sz w:val="32"/>
          <w:szCs w:val="32"/>
          <w:highlight w:val="none"/>
        </w:rPr>
      </w:pPr>
      <w:r>
        <w:rPr>
          <w:rFonts w:eastAsia="仿宋_GB2312"/>
          <w:sz w:val="32"/>
          <w:szCs w:val="32"/>
          <w:highlight w:val="none"/>
        </w:rPr>
        <w:t>（1）一般公共服务（类）支出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lang w:eastAsia="zh-CN"/>
        </w:rPr>
        <w:t>，</w:t>
      </w:r>
      <w:r>
        <w:rPr>
          <w:rFonts w:hint="eastAsia" w:eastAsia="仿宋_GB2312"/>
          <w:sz w:val="32"/>
          <w:szCs w:val="32"/>
          <w:highlight w:val="none"/>
          <w:lang w:val="en-US" w:eastAsia="zh-CN"/>
        </w:rPr>
        <w:t>主要用于无</w:t>
      </w:r>
      <w:r>
        <w:rPr>
          <w:rFonts w:eastAsia="仿宋_GB2312"/>
          <w:sz w:val="32"/>
          <w:szCs w:val="32"/>
          <w:highlight w:val="none"/>
        </w:rPr>
        <w:t>。与上年相比增加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本部门</w:t>
      </w:r>
      <w:r>
        <w:rPr>
          <w:rFonts w:hint="eastAsia" w:ascii="仿宋_GB2312" w:hAnsi="仿宋_GB2312" w:eastAsia="仿宋_GB2312"/>
          <w:sz w:val="32"/>
          <w:szCs w:val="24"/>
          <w:highlight w:val="none"/>
        </w:rPr>
        <w:t>不存在此项内容</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（2）公共安全（类）支出</w:t>
      </w:r>
      <w:r>
        <w:rPr>
          <w:rFonts w:hint="eastAsia" w:ascii="Times New Roman" w:hAnsi="Times New Roman" w:eastAsia="仿宋_GB2312" w:cs="Times New Roman"/>
          <w:sz w:val="32"/>
          <w:szCs w:val="32"/>
          <w:highlight w:val="none"/>
          <w:u w:val="single"/>
          <w:lang w:val="en-US" w:eastAsia="zh-CN"/>
        </w:rPr>
        <w:t>0</w:t>
      </w:r>
      <w:r>
        <w:rPr>
          <w:rFonts w:ascii="Times New Roman" w:hAnsi="Times New Roman" w:eastAsia="仿宋_GB2312" w:cs="Times New Roman"/>
          <w:sz w:val="32"/>
          <w:szCs w:val="32"/>
          <w:highlight w:val="none"/>
        </w:rPr>
        <w:t>万元</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主要用于无</w:t>
      </w:r>
      <w:r>
        <w:rPr>
          <w:rFonts w:ascii="Times New Roman" w:hAnsi="Times New Roman" w:eastAsia="仿宋_GB2312" w:cs="Times New Roman"/>
          <w:sz w:val="32"/>
          <w:szCs w:val="32"/>
          <w:highlight w:val="none"/>
        </w:rPr>
        <w:t>。与上年相比增加</w:t>
      </w:r>
      <w:r>
        <w:rPr>
          <w:rFonts w:hint="eastAsia" w:ascii="Times New Roman" w:hAnsi="Times New Roman" w:eastAsia="仿宋_GB2312" w:cs="Times New Roman"/>
          <w:sz w:val="32"/>
          <w:szCs w:val="32"/>
          <w:highlight w:val="none"/>
          <w:u w:val="single"/>
          <w:lang w:val="en-US" w:eastAsia="zh-CN"/>
        </w:rPr>
        <w:t>0</w:t>
      </w:r>
      <w:r>
        <w:rPr>
          <w:rFonts w:ascii="Times New Roman" w:hAnsi="Times New Roman" w:eastAsia="仿宋_GB2312" w:cs="Times New Roman"/>
          <w:sz w:val="32"/>
          <w:szCs w:val="32"/>
          <w:highlight w:val="none"/>
        </w:rPr>
        <w:t>万元，增长</w:t>
      </w:r>
      <w:r>
        <w:rPr>
          <w:rFonts w:hint="eastAsia" w:ascii="Times New Roman" w:hAnsi="Times New Roman"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eastAsia="zh-CN"/>
        </w:rPr>
        <w:t>%</w:t>
      </w:r>
      <w:r>
        <w:rPr>
          <w:rFonts w:ascii="Times New Roman" w:hAnsi="Times New Roman" w:eastAsia="仿宋_GB2312" w:cs="Times New Roman"/>
          <w:sz w:val="32"/>
          <w:szCs w:val="32"/>
          <w:highlight w:val="none"/>
        </w:rPr>
        <w:t>。主要原因是</w:t>
      </w:r>
      <w:r>
        <w:rPr>
          <w:rFonts w:hint="eastAsia" w:ascii="Times New Roman" w:hAnsi="Times New Roman" w:eastAsia="仿宋_GB2312" w:cs="Times New Roman"/>
          <w:sz w:val="32"/>
          <w:szCs w:val="32"/>
          <w:highlight w:val="none"/>
          <w:lang w:val="en-US" w:eastAsia="zh-CN"/>
        </w:rPr>
        <w:t>本部门</w:t>
      </w:r>
      <w:r>
        <w:rPr>
          <w:rFonts w:hint="eastAsia" w:ascii="Times New Roman" w:hAnsi="Times New Roman" w:eastAsia="仿宋_GB2312" w:cs="Times New Roman"/>
          <w:sz w:val="32"/>
          <w:szCs w:val="32"/>
          <w:highlight w:val="none"/>
        </w:rPr>
        <w:t>不存在此项内容</w:t>
      </w:r>
      <w:r>
        <w:rPr>
          <w:rFonts w:ascii="Times New Roman" w:hAnsi="Times New Roman" w:eastAsia="仿宋_GB2312" w:cs="Times New Roman"/>
          <w:sz w:val="32"/>
          <w:szCs w:val="32"/>
          <w:highlight w:val="none"/>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社会保障和就业</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rPr>
        <w:t>类</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支出</w:t>
      </w:r>
      <w:r>
        <w:rPr>
          <w:rFonts w:hint="eastAsia" w:eastAsia="仿宋_GB2312" w:cs="Times New Roman"/>
          <w:sz w:val="32"/>
          <w:szCs w:val="32"/>
          <w:highlight w:val="none"/>
          <w:u w:val="single"/>
          <w:lang w:val="en-US" w:eastAsia="zh-CN"/>
        </w:rPr>
        <w:t>109.64</w:t>
      </w:r>
      <w:r>
        <w:rPr>
          <w:rFonts w:hint="eastAsia" w:ascii="Times New Roman" w:hAnsi="Times New Roman" w:eastAsia="仿宋_GB2312" w:cs="Times New Roman"/>
          <w:sz w:val="32"/>
          <w:szCs w:val="32"/>
          <w:highlight w:val="none"/>
        </w:rPr>
        <w:t>万元，主要用于</w:t>
      </w:r>
      <w:r>
        <w:rPr>
          <w:rFonts w:hint="eastAsia" w:ascii="Times New Roman" w:hAnsi="Times New Roman" w:eastAsia="仿宋_GB2312" w:cs="Times New Roman"/>
          <w:sz w:val="32"/>
          <w:szCs w:val="32"/>
          <w:highlight w:val="none"/>
          <w:lang w:eastAsia="zh-CN"/>
        </w:rPr>
        <w:t>科协</w:t>
      </w:r>
      <w:r>
        <w:rPr>
          <w:rFonts w:hint="eastAsia" w:ascii="Times New Roman" w:hAnsi="Times New Roman" w:eastAsia="仿宋_GB2312" w:cs="Times New Roman"/>
          <w:sz w:val="32"/>
          <w:szCs w:val="32"/>
          <w:highlight w:val="none"/>
          <w:lang w:val="en-US" w:eastAsia="zh-CN"/>
        </w:rPr>
        <w:t>及所属单位</w:t>
      </w:r>
      <w:r>
        <w:rPr>
          <w:rFonts w:hint="eastAsia" w:ascii="Times New Roman" w:hAnsi="Times New Roman" w:eastAsia="仿宋_GB2312" w:cs="Times New Roman"/>
          <w:sz w:val="32"/>
          <w:szCs w:val="32"/>
          <w:highlight w:val="none"/>
        </w:rPr>
        <w:t>基本养老保险缴费支出</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其他社会保障和就业支出。与上年相比</w:t>
      </w:r>
      <w:r>
        <w:rPr>
          <w:rFonts w:hint="eastAsia" w:ascii="Times New Roman" w:hAnsi="Times New Roman" w:eastAsia="仿宋_GB2312" w:cs="Times New Roman"/>
          <w:sz w:val="32"/>
          <w:szCs w:val="32"/>
          <w:highlight w:val="none"/>
        </w:rPr>
        <w:t>增加</w:t>
      </w:r>
      <w:r>
        <w:rPr>
          <w:rFonts w:hint="eastAsia" w:eastAsia="仿宋_GB2312" w:cs="Times New Roman"/>
          <w:sz w:val="32"/>
          <w:szCs w:val="32"/>
          <w:highlight w:val="none"/>
          <w:u w:val="single"/>
          <w:lang w:val="en-US" w:eastAsia="zh-CN"/>
        </w:rPr>
        <w:t>2.62</w:t>
      </w:r>
      <w:r>
        <w:rPr>
          <w:rFonts w:hint="eastAsia"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增长</w:t>
      </w:r>
      <w:r>
        <w:rPr>
          <w:rFonts w:hint="eastAsia" w:eastAsia="仿宋_GB2312" w:cs="Times New Roman"/>
          <w:sz w:val="32"/>
          <w:szCs w:val="32"/>
          <w:highlight w:val="none"/>
          <w:u w:val="single"/>
          <w:lang w:val="en-US" w:eastAsia="zh-CN"/>
        </w:rPr>
        <w:t>2.45</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主要原因是本年人员增加。</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（4）科学技术（类）支出</w:t>
      </w:r>
      <w:r>
        <w:rPr>
          <w:rFonts w:hint="eastAsia" w:eastAsia="仿宋_GB2312" w:cs="Times New Roman"/>
          <w:sz w:val="32"/>
          <w:szCs w:val="32"/>
          <w:highlight w:val="none"/>
          <w:u w:val="single"/>
          <w:lang w:val="en-US" w:eastAsia="zh-CN"/>
        </w:rPr>
        <w:t>1004.49</w:t>
      </w:r>
      <w:r>
        <w:rPr>
          <w:rFonts w:hint="eastAsia" w:ascii="Times New Roman" w:hAnsi="Times New Roman" w:eastAsia="仿宋_GB2312" w:cs="Times New Roman"/>
          <w:sz w:val="32"/>
          <w:szCs w:val="32"/>
          <w:highlight w:val="none"/>
          <w:lang w:val="en-US" w:eastAsia="zh-CN"/>
        </w:rPr>
        <w:t>万元，主要用于科协及所属单位机构运行、科普活动开展。与上年相比增加</w:t>
      </w:r>
      <w:r>
        <w:rPr>
          <w:rFonts w:hint="eastAsia" w:eastAsia="仿宋_GB2312" w:cs="Times New Roman"/>
          <w:sz w:val="32"/>
          <w:szCs w:val="32"/>
          <w:highlight w:val="none"/>
          <w:u w:val="single"/>
          <w:lang w:val="en-US" w:eastAsia="zh-CN"/>
        </w:rPr>
        <w:t>389.68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63.38</w:t>
      </w:r>
      <w:r>
        <w:rPr>
          <w:rFonts w:hint="eastAsia" w:ascii="Times New Roman" w:hAnsi="Times New Roman" w:eastAsia="仿宋_GB2312" w:cs="Times New Roman"/>
          <w:sz w:val="32"/>
          <w:szCs w:val="32"/>
          <w:highlight w:val="none"/>
          <w:lang w:val="en-US" w:eastAsia="zh-CN"/>
        </w:rPr>
        <w:t>%。主要原因是本年</w:t>
      </w:r>
      <w:r>
        <w:rPr>
          <w:rFonts w:hint="eastAsia" w:eastAsia="仿宋_GB2312" w:cs="Times New Roman"/>
          <w:sz w:val="32"/>
          <w:szCs w:val="32"/>
          <w:highlight w:val="none"/>
          <w:lang w:val="en-US" w:eastAsia="zh-CN"/>
        </w:rPr>
        <w:t>项目</w:t>
      </w:r>
      <w:r>
        <w:rPr>
          <w:rFonts w:hint="eastAsia" w:ascii="Times New Roman" w:hAnsi="Times New Roman" w:eastAsia="仿宋_GB2312" w:cs="Times New Roman"/>
          <w:sz w:val="32"/>
          <w:szCs w:val="32"/>
          <w:highlight w:val="none"/>
          <w:lang w:val="en-US" w:eastAsia="zh-CN"/>
        </w:rPr>
        <w:t>经费增加。</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（5）卫生健康（类）支出</w:t>
      </w:r>
      <w:r>
        <w:rPr>
          <w:rFonts w:hint="eastAsia" w:eastAsia="仿宋_GB2312" w:cs="Times New Roman"/>
          <w:sz w:val="32"/>
          <w:szCs w:val="32"/>
          <w:highlight w:val="none"/>
          <w:u w:val="single"/>
          <w:lang w:val="en-US" w:eastAsia="zh-CN"/>
        </w:rPr>
        <w:t>40.83</w:t>
      </w:r>
      <w:r>
        <w:rPr>
          <w:rFonts w:hint="eastAsia" w:ascii="Times New Roman" w:hAnsi="Times New Roman" w:eastAsia="仿宋_GB2312" w:cs="Times New Roman"/>
          <w:sz w:val="32"/>
          <w:szCs w:val="32"/>
          <w:highlight w:val="none"/>
          <w:lang w:val="en-US" w:eastAsia="zh-CN"/>
        </w:rPr>
        <w:t>万元，主要用于科协及所属单位</w:t>
      </w:r>
      <w:r>
        <w:rPr>
          <w:rFonts w:hint="eastAsia" w:ascii="Times New Roman" w:hAnsi="Times New Roman" w:eastAsia="仿宋_GB2312" w:cs="Times New Roman"/>
          <w:sz w:val="32"/>
          <w:szCs w:val="32"/>
          <w:highlight w:val="none"/>
        </w:rPr>
        <w:t>缴纳医疗保险费</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与上年相比</w:t>
      </w:r>
      <w:r>
        <w:rPr>
          <w:rFonts w:hint="eastAsia" w:eastAsia="仿宋_GB2312" w:cs="Times New Roman"/>
          <w:sz w:val="32"/>
          <w:szCs w:val="32"/>
          <w:highlight w:val="none"/>
          <w:lang w:val="en-US" w:eastAsia="zh-CN"/>
        </w:rPr>
        <w:t>增加</w:t>
      </w:r>
      <w:r>
        <w:rPr>
          <w:rFonts w:hint="eastAsia" w:eastAsia="仿宋_GB2312" w:cs="Times New Roman"/>
          <w:sz w:val="32"/>
          <w:szCs w:val="32"/>
          <w:highlight w:val="none"/>
          <w:u w:val="single"/>
          <w:lang w:val="en-US" w:eastAsia="zh-CN"/>
        </w:rPr>
        <w:t>2.22</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增长</w:t>
      </w:r>
      <w:r>
        <w:rPr>
          <w:rFonts w:hint="eastAsia" w:eastAsia="仿宋_GB2312" w:cs="Times New Roman"/>
          <w:sz w:val="32"/>
          <w:szCs w:val="32"/>
          <w:highlight w:val="none"/>
          <w:u w:val="single"/>
          <w:lang w:val="en-US" w:eastAsia="zh-CN"/>
        </w:rPr>
        <w:t>5.75</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（6）住房保障（类）支出</w:t>
      </w:r>
      <w:r>
        <w:rPr>
          <w:rFonts w:hint="eastAsia" w:eastAsia="仿宋_GB2312" w:cs="Times New Roman"/>
          <w:sz w:val="32"/>
          <w:szCs w:val="32"/>
          <w:highlight w:val="none"/>
          <w:u w:val="single"/>
          <w:lang w:val="en-US" w:eastAsia="zh-CN"/>
        </w:rPr>
        <w:t>57.21</w:t>
      </w:r>
      <w:r>
        <w:rPr>
          <w:rFonts w:hint="eastAsia" w:ascii="Times New Roman" w:hAnsi="Times New Roman" w:eastAsia="仿宋_GB2312" w:cs="Times New Roman"/>
          <w:sz w:val="32"/>
          <w:szCs w:val="32"/>
          <w:highlight w:val="none"/>
          <w:lang w:val="en-US" w:eastAsia="zh-CN"/>
        </w:rPr>
        <w:t>万元，主要用于科协及所属单位</w:t>
      </w:r>
      <w:r>
        <w:rPr>
          <w:rFonts w:hint="eastAsia" w:ascii="Times New Roman" w:hAnsi="Times New Roman" w:eastAsia="仿宋_GB2312" w:cs="Times New Roman"/>
          <w:sz w:val="32"/>
          <w:szCs w:val="32"/>
          <w:highlight w:val="none"/>
        </w:rPr>
        <w:t>按照国家政策规定为职工缴纳的住房公积金</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与上年相比增加</w:t>
      </w:r>
      <w:r>
        <w:rPr>
          <w:rFonts w:hint="eastAsia" w:eastAsia="仿宋_GB2312" w:cs="Times New Roman"/>
          <w:sz w:val="32"/>
          <w:szCs w:val="32"/>
          <w:highlight w:val="none"/>
          <w:u w:val="single"/>
          <w:lang w:val="en-US" w:eastAsia="zh-CN"/>
        </w:rPr>
        <w:t>6.1</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11.93</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 xml:space="preserve"> </w:t>
      </w:r>
    </w:p>
    <w:p>
      <w:pPr>
        <w:pStyle w:val="10"/>
        <w:tabs>
          <w:tab w:val="left" w:pos="4112"/>
        </w:tabs>
        <w:spacing w:after="0" w:line="600" w:lineRule="exact"/>
        <w:ind w:firstLine="640" w:firstLineChars="200"/>
        <w:rPr>
          <w:rFonts w:eastAsia="仿宋_GB2312"/>
          <w:sz w:val="32"/>
          <w:szCs w:val="32"/>
          <w:highlight w:val="none"/>
        </w:rPr>
      </w:pPr>
      <w:r>
        <w:rPr>
          <w:rFonts w:eastAsia="仿宋_GB2312"/>
          <w:sz w:val="32"/>
          <w:szCs w:val="32"/>
          <w:highlight w:val="none"/>
        </w:rPr>
        <w:t>2．年终结转结余</w:t>
      </w:r>
      <w:r>
        <w:rPr>
          <w:rFonts w:hint="eastAsia" w:eastAsia="仿宋_GB2312"/>
          <w:sz w:val="32"/>
          <w:szCs w:val="32"/>
          <w:highlight w:val="none"/>
          <w:u w:val="single"/>
          <w:lang w:val="en-US" w:eastAsia="zh-CN"/>
        </w:rPr>
        <w:t>0</w:t>
      </w:r>
      <w:r>
        <w:rPr>
          <w:rFonts w:eastAsia="仿宋_GB2312"/>
          <w:sz w:val="32"/>
          <w:szCs w:val="32"/>
          <w:highlight w:val="none"/>
        </w:rPr>
        <w:t>万元，主要原因是</w:t>
      </w:r>
      <w:r>
        <w:rPr>
          <w:rFonts w:hint="eastAsia" w:ascii="仿宋_GB2312" w:hAnsi="仿宋_GB2312" w:eastAsia="仿宋_GB2312"/>
          <w:sz w:val="32"/>
          <w:szCs w:val="32"/>
          <w:highlight w:val="none"/>
          <w:lang w:val="en-US" w:eastAsia="zh-CN"/>
        </w:rPr>
        <w:t>本部门不存在此项内容</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二、收入预算情况说明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w:t>
      </w:r>
      <w:r>
        <w:rPr>
          <w:rFonts w:eastAsia="仿宋_GB2312"/>
          <w:sz w:val="32"/>
          <w:szCs w:val="32"/>
          <w:highlight w:val="none"/>
        </w:rPr>
        <w:t>收入预算</w:t>
      </w:r>
      <w:r>
        <w:rPr>
          <w:rFonts w:hint="eastAsia" w:eastAsia="仿宋_GB2312"/>
          <w:sz w:val="32"/>
          <w:szCs w:val="32"/>
          <w:highlight w:val="none"/>
          <w:lang w:val="en-US" w:eastAsia="zh-CN"/>
        </w:rPr>
        <w:t>总</w:t>
      </w:r>
      <w:r>
        <w:rPr>
          <w:rFonts w:eastAsia="仿宋_GB2312"/>
          <w:sz w:val="32"/>
          <w:szCs w:val="32"/>
          <w:highlight w:val="none"/>
        </w:rPr>
        <w:t>计</w:t>
      </w:r>
      <w:r>
        <w:rPr>
          <w:rFonts w:hint="eastAsia" w:eastAsia="仿宋_GB2312"/>
          <w:sz w:val="32"/>
          <w:szCs w:val="32"/>
          <w:highlight w:val="none"/>
          <w:u w:val="single"/>
          <w:lang w:val="en-US" w:eastAsia="zh-CN"/>
        </w:rPr>
        <w:t>1212.18</w:t>
      </w:r>
      <w:r>
        <w:rPr>
          <w:rFonts w:eastAsia="仿宋_GB2312"/>
          <w:sz w:val="32"/>
          <w:szCs w:val="32"/>
          <w:highlight w:val="none"/>
        </w:rPr>
        <w:t>万元，包括本年收入</w:t>
      </w:r>
      <w:r>
        <w:rPr>
          <w:rFonts w:hint="eastAsia" w:eastAsia="仿宋_GB2312"/>
          <w:sz w:val="32"/>
          <w:szCs w:val="32"/>
          <w:highlight w:val="none"/>
          <w:u w:val="single"/>
          <w:lang w:val="en-US" w:eastAsia="zh-CN"/>
        </w:rPr>
        <w:t>1212.18</w:t>
      </w:r>
      <w:r>
        <w:rPr>
          <w:rFonts w:eastAsia="仿宋_GB2312"/>
          <w:sz w:val="32"/>
          <w:szCs w:val="32"/>
          <w:highlight w:val="none"/>
        </w:rPr>
        <w:t>万元，上年结转结余</w:t>
      </w:r>
      <w:r>
        <w:rPr>
          <w:rFonts w:hint="eastAsia" w:eastAsia="仿宋_GB2312"/>
          <w:sz w:val="32"/>
          <w:szCs w:val="32"/>
          <w:highlight w:val="none"/>
          <w:u w:val="single"/>
          <w:lang w:val="en-US" w:eastAsia="zh-CN"/>
        </w:rPr>
        <w:t>0</w:t>
      </w:r>
      <w:r>
        <w:rPr>
          <w:rFonts w:eastAsia="仿宋_GB2312"/>
          <w:sz w:val="32"/>
          <w:szCs w:val="32"/>
          <w:highlight w:val="none"/>
        </w:rPr>
        <w:t>万元。其中：</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本年一般公共预算收入</w:t>
      </w:r>
      <w:r>
        <w:rPr>
          <w:rFonts w:hint="eastAsia" w:eastAsia="仿宋_GB2312"/>
          <w:sz w:val="32"/>
          <w:szCs w:val="32"/>
          <w:highlight w:val="none"/>
          <w:u w:val="single"/>
          <w:lang w:val="en-US" w:eastAsia="zh-CN"/>
        </w:rPr>
        <w:t>1212.18</w:t>
      </w:r>
      <w:r>
        <w:rPr>
          <w:rFonts w:eastAsia="仿宋_GB2312"/>
          <w:sz w:val="32"/>
          <w:szCs w:val="32"/>
          <w:highlight w:val="none"/>
        </w:rPr>
        <w:t>万元，占</w:t>
      </w:r>
      <w:r>
        <w:rPr>
          <w:rFonts w:hint="eastAsia" w:eastAsia="仿宋_GB2312"/>
          <w:sz w:val="32"/>
          <w:szCs w:val="32"/>
          <w:highlight w:val="none"/>
          <w:u w:val="single"/>
          <w:lang w:val="en-US" w:eastAsia="zh-CN"/>
        </w:rPr>
        <w:t>100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本年政府性基金预算收入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本年国有资本经营预算收入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本年事业单位经营收入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本年上级补助收入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本年附属单位上缴收入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本年其他收入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上年结转结余的一般公共预算收入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上年结转结余的政府性基金预算收入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上年结转结余的国有资本经营预算收入</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上年结转结余的财政专户管理资金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上年结转结余的单位资金</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r>
        <w:rPr>
          <w:rFonts w:hint="eastAsia" w:eastAsia="仿宋_GB2312"/>
          <w:sz w:val="32"/>
          <w:szCs w:val="32"/>
          <w:highlight w:val="none"/>
          <w:lang w:eastAsia="zh-CN"/>
        </w:rPr>
        <w:t>。</w:t>
      </w:r>
    </w:p>
    <w:p>
      <w:pPr>
        <w:pStyle w:val="2"/>
        <w:tabs>
          <w:tab w:val="left" w:pos="0"/>
        </w:tabs>
        <w:ind w:left="0" w:leftChars="0" w:firstLine="0"/>
        <w:jc w:val="center"/>
        <w:rPr>
          <w:rFonts w:eastAsia="仿宋_GB2312"/>
          <w:sz w:val="32"/>
          <w:szCs w:val="32"/>
          <w:highlight w:val="none"/>
        </w:rPr>
      </w:pP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图1.收入预算图</w:t>
      </w:r>
    </w:p>
    <w:p>
      <w:pPr>
        <w:pStyle w:val="2"/>
        <w:tabs>
          <w:tab w:val="left" w:pos="0"/>
        </w:tabs>
        <w:ind w:left="0" w:leftChars="0" w:firstLine="0"/>
        <w:jc w:val="center"/>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lang w:eastAsia="zh-CN"/>
        </w:rPr>
        <w:drawing>
          <wp:inline distT="0" distB="0" distL="114300" distR="114300">
            <wp:extent cx="5080000" cy="3810000"/>
            <wp:effectExtent l="4445" t="4445" r="20955" b="52705"/>
            <wp:docPr id="2" name="图表 2" descr="7b0a202020202263686172745265734964223a2022323034373039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三、支出预算情况说明</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w:t>
      </w:r>
      <w:r>
        <w:rPr>
          <w:rFonts w:eastAsia="仿宋_GB2312"/>
          <w:sz w:val="32"/>
          <w:szCs w:val="32"/>
          <w:highlight w:val="none"/>
        </w:rPr>
        <w:t>支出预算合计</w:t>
      </w:r>
      <w:r>
        <w:rPr>
          <w:rFonts w:hint="eastAsia" w:eastAsia="仿宋_GB2312"/>
          <w:sz w:val="32"/>
          <w:szCs w:val="32"/>
          <w:highlight w:val="none"/>
          <w:u w:val="single"/>
          <w:lang w:val="en-US" w:eastAsia="zh-CN"/>
        </w:rPr>
        <w:t>1212.18</w:t>
      </w:r>
      <w:r>
        <w:rPr>
          <w:rFonts w:eastAsia="仿宋_GB2312"/>
          <w:sz w:val="32"/>
          <w:szCs w:val="32"/>
          <w:highlight w:val="none"/>
        </w:rPr>
        <w:t>万元，其中</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eastAsia" w:eastAsia="仿宋_GB2312"/>
          <w:sz w:val="32"/>
          <w:szCs w:val="32"/>
          <w:highlight w:val="none"/>
          <w:lang w:eastAsia="zh-CN"/>
        </w:rPr>
      </w:pPr>
      <w:r>
        <w:rPr>
          <w:rFonts w:eastAsia="仿宋_GB2312"/>
          <w:sz w:val="32"/>
          <w:szCs w:val="32"/>
          <w:highlight w:val="none"/>
        </w:rPr>
        <w:t>基本支出</w:t>
      </w:r>
      <w:r>
        <w:rPr>
          <w:rFonts w:hint="eastAsia" w:eastAsia="仿宋_GB2312"/>
          <w:sz w:val="32"/>
          <w:szCs w:val="32"/>
          <w:highlight w:val="none"/>
          <w:u w:val="single"/>
          <w:lang w:val="en-US" w:eastAsia="zh-CN"/>
        </w:rPr>
        <w:t>703.38</w:t>
      </w:r>
      <w:r>
        <w:rPr>
          <w:rFonts w:eastAsia="仿宋_GB2312"/>
          <w:sz w:val="32"/>
          <w:szCs w:val="32"/>
          <w:highlight w:val="none"/>
        </w:rPr>
        <w:t>万元，占</w:t>
      </w:r>
      <w:r>
        <w:rPr>
          <w:rFonts w:hint="eastAsia" w:eastAsia="仿宋_GB2312"/>
          <w:sz w:val="32"/>
          <w:szCs w:val="32"/>
          <w:highlight w:val="none"/>
          <w:u w:val="single"/>
          <w:lang w:val="en-US" w:eastAsia="zh-CN"/>
        </w:rPr>
        <w:t>58.03</w:t>
      </w:r>
      <w:r>
        <w:rPr>
          <w:rFonts w:hint="eastAsia" w:ascii="仿宋_GB2312" w:hAnsi="仿宋_GB2312" w:eastAsia="仿宋_GB2312"/>
          <w:sz w:val="32"/>
          <w:szCs w:val="32"/>
          <w:highlight w:val="none"/>
          <w:lang w:eastAsia="zh-CN"/>
        </w:rPr>
        <w:t>%</w:t>
      </w:r>
      <w:r>
        <w:rPr>
          <w:rFonts w:hint="eastAsia" w:eastAsia="仿宋_GB2312"/>
          <w:sz w:val="32"/>
          <w:szCs w:val="32"/>
          <w:highlight w:val="none"/>
          <w:lang w:eastAsia="zh-CN"/>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项目支出</w:t>
      </w:r>
      <w:r>
        <w:rPr>
          <w:rFonts w:hint="eastAsia" w:eastAsia="仿宋_GB2312"/>
          <w:sz w:val="32"/>
          <w:szCs w:val="32"/>
          <w:highlight w:val="none"/>
          <w:u w:val="single"/>
          <w:lang w:val="en-US" w:eastAsia="zh-CN"/>
        </w:rPr>
        <w:t>508.8</w:t>
      </w:r>
      <w:r>
        <w:rPr>
          <w:rFonts w:eastAsia="仿宋_GB2312"/>
          <w:sz w:val="32"/>
          <w:szCs w:val="32"/>
          <w:highlight w:val="none"/>
        </w:rPr>
        <w:t>万元，占</w:t>
      </w:r>
      <w:r>
        <w:rPr>
          <w:rFonts w:hint="eastAsia" w:eastAsia="仿宋_GB2312"/>
          <w:sz w:val="32"/>
          <w:szCs w:val="32"/>
          <w:highlight w:val="none"/>
          <w:u w:val="single"/>
          <w:lang w:val="en-US" w:eastAsia="zh-CN"/>
        </w:rPr>
        <w:t>41.97</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ascii="Times New Roman" w:hAnsi="Times New Roman" w:eastAsia="仿宋_GB2312" w:cs="仿宋"/>
          <w:sz w:val="32"/>
          <w:szCs w:val="32"/>
          <w:highlight w:val="none"/>
        </w:rPr>
      </w:pPr>
      <w:r>
        <w:rPr>
          <w:rFonts w:eastAsia="仿宋_GB2312"/>
          <w:sz w:val="32"/>
          <w:szCs w:val="32"/>
          <w:highlight w:val="none"/>
        </w:rPr>
        <w:t>事业单位经营支出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上缴上级支出</w:t>
      </w:r>
      <w:r>
        <w:rPr>
          <w:rFonts w:eastAsia="仿宋_GB2312"/>
          <w:sz w:val="32"/>
          <w:szCs w:val="32"/>
          <w:highlight w:val="none"/>
        </w:rPr>
        <w:tab/>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对附属单位补助支出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w:t>
      </w:r>
    </w:p>
    <w:p>
      <w:pPr>
        <w:pStyle w:val="2"/>
        <w:ind w:left="0" w:leftChars="0" w:firstLine="220"/>
        <w:jc w:val="center"/>
        <w:rPr>
          <w:rFonts w:hint="default" w:eastAsia="仿宋_GB2312"/>
          <w:sz w:val="32"/>
          <w:szCs w:val="32"/>
          <w:highlight w:val="none"/>
        </w:rPr>
      </w:pPr>
    </w:p>
    <w:p>
      <w:pPr>
        <w:pStyle w:val="2"/>
        <w:ind w:left="0" w:leftChars="0" w:firstLine="220"/>
        <w:jc w:val="center"/>
        <w:rPr>
          <w:rFonts w:hint="eastAsia" w:ascii="Times New Roman" w:hAnsi="Times New Roman" w:eastAsia="仿宋_GB2312" w:cs="仿宋"/>
          <w:sz w:val="32"/>
          <w:szCs w:val="32"/>
          <w:highlight w:val="none"/>
          <w:lang w:eastAsia="zh-CN"/>
        </w:rPr>
      </w:pPr>
      <w:r>
        <w:rPr>
          <w:rFonts w:eastAsia="仿宋_GB2312"/>
          <w:sz w:val="32"/>
          <w:szCs w:val="32"/>
          <w:highlight w:val="none"/>
        </w:rPr>
        <w:t>图2.支出预算图</w:t>
      </w:r>
    </w:p>
    <w:p>
      <w:pPr>
        <w:pStyle w:val="10"/>
        <w:tabs>
          <w:tab w:val="left" w:pos="2671"/>
          <w:tab w:val="left" w:pos="5000"/>
          <w:tab w:val="left" w:pos="6190"/>
        </w:tabs>
        <w:spacing w:after="0" w:line="600" w:lineRule="exact"/>
        <w:rPr>
          <w:rFonts w:hint="eastAsia" w:ascii="Times New Roman" w:hAnsi="Times New Roman" w:eastAsia="仿宋_GB2312" w:cs="仿宋"/>
          <w:sz w:val="32"/>
          <w:szCs w:val="32"/>
          <w:highlight w:val="none"/>
          <w:lang w:eastAsia="zh-CN"/>
        </w:rPr>
      </w:pPr>
      <w:r>
        <w:rPr>
          <w:rFonts w:hint="eastAsia" w:ascii="Times New Roman" w:hAnsi="Times New Roman" w:eastAsia="仿宋_GB2312" w:cs="仿宋"/>
          <w:sz w:val="32"/>
          <w:szCs w:val="32"/>
          <w:highlight w:val="none"/>
          <w:lang w:eastAsia="zh-CN"/>
        </w:rPr>
        <w:drawing>
          <wp:anchor distT="0" distB="0" distL="114300" distR="114300" simplePos="0" relativeHeight="251659264" behindDoc="0" locked="0" layoutInCell="1" allowOverlap="1">
            <wp:simplePos x="0" y="0"/>
            <wp:positionH relativeFrom="column">
              <wp:posOffset>382270</wp:posOffset>
            </wp:positionH>
            <wp:positionV relativeFrom="paragraph">
              <wp:posOffset>-322580</wp:posOffset>
            </wp:positionV>
            <wp:extent cx="5080000" cy="3514725"/>
            <wp:effectExtent l="4445" t="4445" r="20955" b="62230"/>
            <wp:wrapTopAndBottom/>
            <wp:docPr id="6" name="图表 6" descr="7b0a202020202263686172745265734964223a20223230343730393037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spacing w:line="600" w:lineRule="exact"/>
        <w:ind w:left="6" w:leftChars="0" w:firstLine="633" w:firstLineChars="198"/>
        <w:outlineLvl w:val="2"/>
        <w:rPr>
          <w:rFonts w:eastAsia="黑体" w:cs="黑体"/>
          <w:sz w:val="32"/>
          <w:szCs w:val="36"/>
          <w:highlight w:val="none"/>
        </w:rPr>
      </w:pPr>
      <w:r>
        <w:rPr>
          <w:rFonts w:hint="eastAsia" w:eastAsia="黑体" w:cs="黑体"/>
          <w:sz w:val="32"/>
          <w:szCs w:val="36"/>
          <w:highlight w:val="none"/>
        </w:rPr>
        <w:t>四、财政拨款收支预算总体情况说明</w:t>
      </w:r>
    </w:p>
    <w:p>
      <w:pPr>
        <w:pStyle w:val="10"/>
        <w:tabs>
          <w:tab w:val="left" w:pos="1389"/>
          <w:tab w:val="left" w:pos="4911"/>
          <w:tab w:val="left" w:pos="5898"/>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年度财政拨款收、支总预算</w:t>
      </w:r>
      <w:r>
        <w:rPr>
          <w:rFonts w:hint="eastAsia" w:eastAsia="仿宋_GB2312"/>
          <w:sz w:val="32"/>
          <w:szCs w:val="32"/>
          <w:highlight w:val="none"/>
          <w:u w:val="single"/>
          <w:lang w:val="en-US" w:eastAsia="zh-CN"/>
        </w:rPr>
        <w:t>1212.18</w:t>
      </w:r>
      <w:r>
        <w:rPr>
          <w:rFonts w:eastAsia="仿宋_GB2312"/>
          <w:sz w:val="32"/>
          <w:szCs w:val="32"/>
          <w:highlight w:val="none"/>
        </w:rPr>
        <w:t>万元。与上年相比，财政拨款收、支总计各</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sz w:val="32"/>
          <w:szCs w:val="32"/>
          <w:highlight w:val="none"/>
          <w:u w:val="single"/>
          <w:lang w:val="en-US" w:eastAsia="zh-CN"/>
        </w:rPr>
        <w:t>400.63</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lang w:val="en-US" w:eastAsia="zh-CN"/>
        </w:rPr>
        <w:t>49.37</w:t>
      </w:r>
      <w:r>
        <w:rPr>
          <w:rFonts w:hint="eastAsia" w:ascii="仿宋_GB2312" w:hAnsi="仿宋_GB2312" w:eastAsia="仿宋_GB2312" w:cs="仿宋_GB2312"/>
          <w:sz w:val="32"/>
          <w:szCs w:val="32"/>
          <w:highlight w:val="none"/>
        </w:rPr>
        <w:t>%。</w:t>
      </w:r>
      <w:r>
        <w:rPr>
          <w:rFonts w:eastAsia="仿宋_GB2312"/>
          <w:sz w:val="32"/>
          <w:szCs w:val="32"/>
          <w:highlight w:val="none"/>
        </w:rPr>
        <w:t>主要原因是</w:t>
      </w:r>
      <w:r>
        <w:rPr>
          <w:rFonts w:hint="eastAsia" w:ascii="仿宋_GB2312" w:eastAsia="仿宋_GB2312"/>
          <w:sz w:val="32"/>
          <w:szCs w:val="32"/>
        </w:rPr>
        <w:t>由于</w:t>
      </w:r>
      <w:r>
        <w:rPr>
          <w:rFonts w:hint="eastAsia" w:ascii="仿宋_GB2312" w:eastAsia="仿宋_GB2312"/>
          <w:sz w:val="32"/>
          <w:szCs w:val="32"/>
          <w:lang w:val="en-US" w:eastAsia="zh-CN"/>
        </w:rPr>
        <w:t>人员经费和项目经费增加</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五、一般公共预算支出预算情况说明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hint="eastAsia" w:ascii="仿宋_GB2312" w:hAnsi="仿宋_GB2312" w:eastAsia="仿宋_GB2312" w:cs="仿宋_GB2312"/>
          <w:sz w:val="32"/>
          <w:szCs w:val="32"/>
          <w:highlight w:val="none"/>
        </w:rPr>
        <w:t>年度</w:t>
      </w:r>
      <w:r>
        <w:rPr>
          <w:rFonts w:eastAsia="仿宋_GB2312"/>
          <w:sz w:val="32"/>
          <w:szCs w:val="32"/>
          <w:highlight w:val="none"/>
        </w:rPr>
        <w:t>一般公共预算财政拨款支出预算</w:t>
      </w:r>
      <w:r>
        <w:rPr>
          <w:rFonts w:hint="eastAsia" w:eastAsia="仿宋_GB2312"/>
          <w:sz w:val="32"/>
          <w:szCs w:val="32"/>
          <w:highlight w:val="none"/>
          <w:u w:val="single"/>
          <w:lang w:val="en-US" w:eastAsia="zh-CN"/>
        </w:rPr>
        <w:t>1212.18</w:t>
      </w:r>
      <w:r>
        <w:rPr>
          <w:rFonts w:eastAsia="仿宋_GB2312"/>
          <w:sz w:val="32"/>
          <w:szCs w:val="32"/>
          <w:highlight w:val="none"/>
        </w:rPr>
        <w:t>万元，与上年相比</w:t>
      </w:r>
      <w:r>
        <w:rPr>
          <w:rFonts w:hint="eastAsia" w:ascii="仿宋_GB2312" w:hAnsi="仿宋_GB2312" w:eastAsia="仿宋_GB2312" w:cs="仿宋_GB2312"/>
          <w:sz w:val="32"/>
          <w:szCs w:val="32"/>
          <w:highlight w:val="none"/>
        </w:rPr>
        <w:t>增加</w:t>
      </w:r>
      <w:r>
        <w:rPr>
          <w:rFonts w:hint="eastAsia" w:ascii="仿宋_GB2312" w:hAnsi="仿宋_GB2312" w:eastAsia="仿宋_GB2312" w:cs="仿宋_GB2312"/>
          <w:sz w:val="32"/>
          <w:szCs w:val="32"/>
          <w:highlight w:val="none"/>
          <w:u w:val="single"/>
          <w:lang w:val="en-US" w:eastAsia="zh-CN"/>
        </w:rPr>
        <w:t>400.63</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u w:val="single"/>
          <w:lang w:val="en-US" w:eastAsia="zh-CN"/>
        </w:rPr>
        <w:t>49.37</w:t>
      </w:r>
      <w:r>
        <w:rPr>
          <w:rFonts w:hint="eastAsia" w:ascii="仿宋_GB2312" w:hAnsi="仿宋_GB2312" w:eastAsia="仿宋_GB2312" w:cs="仿宋_GB2312"/>
          <w:sz w:val="32"/>
          <w:szCs w:val="32"/>
          <w:highlight w:val="none"/>
        </w:rPr>
        <w:t>%。</w:t>
      </w:r>
      <w:r>
        <w:rPr>
          <w:rFonts w:hint="eastAsia" w:eastAsia="仿宋_GB2312"/>
          <w:sz w:val="32"/>
          <w:szCs w:val="32"/>
          <w:highlight w:val="none"/>
        </w:rPr>
        <w:t>具体情况如下：</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（一）一般公共服务（类）</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一般公共服务类年初预算数为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1.人大事务（款）行政运行（项）。年初预算</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val="en-US" w:eastAsia="zh-CN"/>
        </w:rPr>
        <w:t>本部门不存在此项内容</w:t>
      </w:r>
      <w:r>
        <w:rPr>
          <w:rFonts w:eastAsia="仿宋_GB2312"/>
          <w:sz w:val="32"/>
          <w:szCs w:val="32"/>
          <w:highlight w:val="none"/>
        </w:rPr>
        <w:t>。</w:t>
      </w:r>
    </w:p>
    <w:p>
      <w:pPr>
        <w:pStyle w:val="10"/>
        <w:tabs>
          <w:tab w:val="left" w:pos="4275"/>
        </w:tabs>
        <w:spacing w:after="0" w:line="600" w:lineRule="exact"/>
        <w:ind w:firstLine="643" w:firstLineChars="200"/>
        <w:rPr>
          <w:rFonts w:ascii="楷体" w:hAnsi="楷体" w:eastAsia="楷体" w:cs="楷体"/>
          <w:b/>
          <w:bCs/>
          <w:sz w:val="32"/>
          <w:szCs w:val="32"/>
          <w:highlight w:val="none"/>
        </w:rPr>
      </w:pPr>
      <w:r>
        <w:rPr>
          <w:rFonts w:hint="eastAsia" w:ascii="楷体" w:hAnsi="楷体" w:eastAsia="楷体" w:cs="楷体"/>
          <w:b/>
          <w:bCs/>
          <w:sz w:val="32"/>
          <w:szCs w:val="32"/>
          <w:highlight w:val="none"/>
        </w:rPr>
        <w:t>（二）公共安全（类）</w:t>
      </w:r>
    </w:p>
    <w:p>
      <w:pPr>
        <w:pStyle w:val="10"/>
        <w:spacing w:after="0" w:line="600" w:lineRule="exact"/>
        <w:ind w:firstLine="640" w:firstLineChars="200"/>
        <w:rPr>
          <w:rFonts w:eastAsia="仿宋_GB2312"/>
          <w:sz w:val="32"/>
          <w:szCs w:val="32"/>
          <w:highlight w:val="none"/>
        </w:rPr>
      </w:pPr>
      <w:r>
        <w:rPr>
          <w:rFonts w:hint="eastAsia" w:eastAsia="仿宋_GB2312"/>
          <w:sz w:val="32"/>
          <w:szCs w:val="32"/>
          <w:highlight w:val="none"/>
        </w:rPr>
        <w:t>公共安全类年初预算数为</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，与上年相比</w:t>
      </w:r>
      <w:r>
        <w:rPr>
          <w:rFonts w:eastAsia="仿宋_GB2312"/>
          <w:sz w:val="32"/>
          <w:szCs w:val="32"/>
          <w:highlight w:val="none"/>
        </w:rPr>
        <w:t>增加</w:t>
      </w:r>
      <w:r>
        <w:rPr>
          <w:rFonts w:hint="eastAsia" w:eastAsia="仿宋_GB2312"/>
          <w:sz w:val="32"/>
          <w:szCs w:val="32"/>
          <w:highlight w:val="none"/>
          <w:u w:val="single"/>
          <w:lang w:val="en-US" w:eastAsia="zh-CN"/>
        </w:rPr>
        <w:t>0</w:t>
      </w:r>
      <w:r>
        <w:rPr>
          <w:rFonts w:eastAsia="仿宋_GB2312"/>
          <w:sz w:val="32"/>
          <w:szCs w:val="32"/>
          <w:highlight w:val="none"/>
        </w:rPr>
        <w:t>万元</w:t>
      </w:r>
      <w:r>
        <w:rPr>
          <w:rFonts w:hint="eastAsia" w:eastAsia="仿宋_GB2312"/>
          <w:sz w:val="32"/>
          <w:szCs w:val="32"/>
          <w:highlight w:val="none"/>
        </w:rPr>
        <w:t>。其中：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1．公安（款）行政运行（项）。年初预算</w:t>
      </w:r>
      <w:r>
        <w:rPr>
          <w:rFonts w:hint="eastAsia" w:eastAsia="仿宋_GB2312"/>
          <w:sz w:val="32"/>
          <w:szCs w:val="32"/>
          <w:highlight w:val="none"/>
          <w:u w:val="single"/>
          <w:lang w:val="en-US" w:eastAsia="zh-CN"/>
        </w:rPr>
        <w:t>0</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。变动原因：</w:t>
      </w:r>
      <w:r>
        <w:rPr>
          <w:rFonts w:hint="eastAsia" w:ascii="仿宋_GB2312" w:hAnsi="仿宋_GB2312" w:eastAsia="仿宋_GB2312"/>
          <w:sz w:val="32"/>
          <w:szCs w:val="32"/>
          <w:highlight w:val="none"/>
          <w:lang w:val="en-US" w:eastAsia="zh-CN"/>
        </w:rPr>
        <w:t>本部门不存在此项内容</w:t>
      </w:r>
      <w:r>
        <w:rPr>
          <w:rFonts w:eastAsia="仿宋_GB2312"/>
          <w:sz w:val="32"/>
          <w:szCs w:val="32"/>
          <w:highlight w:val="none"/>
        </w:rPr>
        <w:t>。</w:t>
      </w:r>
    </w:p>
    <w:p>
      <w:pPr>
        <w:pStyle w:val="10"/>
        <w:tabs>
          <w:tab w:val="left" w:pos="4275"/>
        </w:tabs>
        <w:spacing w:after="0" w:line="600" w:lineRule="exact"/>
        <w:ind w:firstLine="643" w:firstLineChars="200"/>
        <w:rPr>
          <w:rFonts w:hint="eastAsia" w:ascii="楷体" w:hAnsi="楷体" w:eastAsia="楷体" w:cs="楷体"/>
          <w:b/>
          <w:bCs/>
          <w:sz w:val="32"/>
          <w:szCs w:val="32"/>
          <w:highlight w:val="none"/>
          <w:lang w:eastAsia="zh-CN"/>
        </w:rPr>
      </w:pP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lang w:val="en-US" w:eastAsia="zh-CN"/>
        </w:rPr>
        <w:t>三</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社会保障和就业</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类</w:t>
      </w:r>
      <w:r>
        <w:rPr>
          <w:rFonts w:hint="eastAsia" w:ascii="楷体" w:hAnsi="楷体" w:eastAsia="楷体" w:cs="楷体"/>
          <w:b/>
          <w:bCs/>
          <w:sz w:val="32"/>
          <w:szCs w:val="32"/>
          <w:highlight w:val="none"/>
          <w:lang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社会保障和就业（类）预算数为</w:t>
      </w:r>
      <w:r>
        <w:rPr>
          <w:rFonts w:hint="eastAsia" w:eastAsia="仿宋_GB2312" w:cs="Times New Roman"/>
          <w:sz w:val="32"/>
          <w:szCs w:val="32"/>
          <w:highlight w:val="none"/>
          <w:u w:val="single"/>
          <w:lang w:val="en-US" w:eastAsia="zh-CN"/>
        </w:rPr>
        <w:t>109.64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2.62</w:t>
      </w:r>
      <w:r>
        <w:rPr>
          <w:rFonts w:hint="eastAsia" w:ascii="Times New Roman" w:hAnsi="Times New Roman" w:eastAsia="仿宋_GB2312" w:cs="Times New Roman"/>
          <w:sz w:val="32"/>
          <w:szCs w:val="32"/>
          <w:highlight w:val="none"/>
          <w:lang w:val="en-US" w:eastAsia="zh-CN"/>
        </w:rPr>
        <w:t>万元。其中：</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1.行政事业单位养老支出（款）机关事业单位基本养老保险缴费支出（项）。年初预算</w:t>
      </w:r>
      <w:r>
        <w:rPr>
          <w:rFonts w:hint="eastAsia" w:eastAsia="仿宋_GB2312" w:cs="Times New Roman"/>
          <w:sz w:val="32"/>
          <w:szCs w:val="32"/>
          <w:highlight w:val="none"/>
          <w:u w:val="single"/>
          <w:lang w:val="en-US" w:eastAsia="zh-CN"/>
        </w:rPr>
        <w:t>76.28</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8.14</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11.94</w:t>
      </w:r>
      <w:r>
        <w:rPr>
          <w:rFonts w:hint="eastAsia" w:ascii="Times New Roman" w:hAnsi="Times New Roman" w:eastAsia="仿宋_GB2312" w:cs="Times New Roman"/>
          <w:sz w:val="32"/>
          <w:szCs w:val="32"/>
          <w:highlight w:val="none"/>
          <w:lang w:val="en-US" w:eastAsia="zh-CN"/>
        </w:rPr>
        <w:t>%。变动原因：</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2.行政事业单位养老支出（款）</w:t>
      </w:r>
      <w:r>
        <w:rPr>
          <w:rFonts w:hint="eastAsia" w:eastAsia="仿宋_GB2312" w:cs="Times New Roman"/>
          <w:sz w:val="32"/>
          <w:szCs w:val="32"/>
          <w:highlight w:val="none"/>
          <w:lang w:val="en-US" w:eastAsia="zh-CN"/>
        </w:rPr>
        <w:t>行政单位离退休</w:t>
      </w:r>
      <w:r>
        <w:rPr>
          <w:rFonts w:hint="eastAsia" w:ascii="Times New Roman" w:hAnsi="Times New Roman" w:eastAsia="仿宋_GB2312" w:cs="Times New Roman"/>
          <w:sz w:val="32"/>
          <w:szCs w:val="32"/>
          <w:highlight w:val="none"/>
          <w:lang w:val="en-US" w:eastAsia="zh-CN"/>
        </w:rPr>
        <w:t>（项）。年初预算</w:t>
      </w:r>
      <w:r>
        <w:rPr>
          <w:rFonts w:hint="eastAsia" w:eastAsia="仿宋_GB2312" w:cs="Times New Roman"/>
          <w:sz w:val="32"/>
          <w:szCs w:val="32"/>
          <w:highlight w:val="none"/>
          <w:u w:val="single"/>
          <w:lang w:val="en-US" w:eastAsia="zh-CN"/>
        </w:rPr>
        <w:t>9.63</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%。变动原因：</w:t>
      </w:r>
      <w:r>
        <w:rPr>
          <w:rFonts w:hint="eastAsia" w:eastAsia="仿宋_GB2312" w:cs="Times New Roman"/>
          <w:sz w:val="32"/>
          <w:szCs w:val="32"/>
          <w:highlight w:val="none"/>
          <w:lang w:val="en-US" w:eastAsia="zh-CN"/>
        </w:rPr>
        <w:t>与上年持平</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行政事业单位养老支出（款）</w:t>
      </w:r>
      <w:r>
        <w:rPr>
          <w:rFonts w:hint="eastAsia" w:eastAsia="仿宋_GB2312" w:cs="Times New Roman"/>
          <w:sz w:val="32"/>
          <w:szCs w:val="32"/>
          <w:highlight w:val="none"/>
          <w:lang w:val="en-US" w:eastAsia="zh-CN"/>
        </w:rPr>
        <w:t>事业单位离退休</w:t>
      </w:r>
      <w:r>
        <w:rPr>
          <w:rFonts w:hint="eastAsia" w:ascii="Times New Roman" w:hAnsi="Times New Roman" w:eastAsia="仿宋_GB2312" w:cs="Times New Roman"/>
          <w:sz w:val="32"/>
          <w:szCs w:val="32"/>
          <w:highlight w:val="none"/>
          <w:lang w:val="en-US" w:eastAsia="zh-CN"/>
        </w:rPr>
        <w:t>（项）。</w:t>
      </w:r>
      <w:r>
        <w:rPr>
          <w:rFonts w:hint="eastAsia" w:eastAsia="仿宋_GB2312" w:cs="Times New Roman"/>
          <w:sz w:val="32"/>
          <w:szCs w:val="32"/>
          <w:highlight w:val="none"/>
          <w:lang w:val="en-US" w:eastAsia="zh-CN"/>
        </w:rPr>
        <w:t>年初预算13.78万元，与上年相比减少0.04万元，减少0.28%。变动原因：人员变动。</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3.残疾人事业（款）其他残疾人事业支出（项）。年初预算</w:t>
      </w:r>
      <w:r>
        <w:rPr>
          <w:rFonts w:hint="eastAsia" w:eastAsia="仿宋_GB2312" w:cs="Times New Roman"/>
          <w:sz w:val="32"/>
          <w:szCs w:val="32"/>
          <w:highlight w:val="none"/>
          <w:u w:val="single"/>
          <w:lang w:val="en-US" w:eastAsia="zh-CN"/>
        </w:rPr>
        <w:t>6.5</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0.69</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11.87</w:t>
      </w:r>
      <w:r>
        <w:rPr>
          <w:rFonts w:hint="eastAsia" w:ascii="Times New Roman" w:hAnsi="Times New Roman" w:eastAsia="仿宋_GB2312" w:cs="Times New Roman"/>
          <w:sz w:val="32"/>
          <w:szCs w:val="32"/>
          <w:highlight w:val="none"/>
          <w:lang w:val="en-US" w:eastAsia="zh-CN"/>
        </w:rPr>
        <w:t>%。变动原因：</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4.其他社会保障和就业支出（款）其他社会保障和就业支出（项）。年初预算</w:t>
      </w:r>
      <w:r>
        <w:rPr>
          <w:rFonts w:hint="eastAsia" w:eastAsia="仿宋_GB2312" w:cs="Times New Roman"/>
          <w:sz w:val="32"/>
          <w:szCs w:val="32"/>
          <w:highlight w:val="none"/>
          <w:u w:val="single"/>
          <w:lang w:val="en-US" w:eastAsia="zh-CN"/>
        </w:rPr>
        <w:t>3.45</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0.32</w:t>
      </w:r>
      <w:r>
        <w:rPr>
          <w:rFonts w:hint="eastAsia" w:ascii="Times New Roman" w:hAnsi="Times New Roman" w:eastAsia="仿宋_GB2312" w:cs="Times New Roman"/>
          <w:sz w:val="32"/>
          <w:szCs w:val="32"/>
          <w:highlight w:val="none"/>
          <w:lang w:val="en-US" w:eastAsia="zh-CN"/>
        </w:rPr>
        <w:t>万元，增长</w:t>
      </w:r>
      <w:r>
        <w:rPr>
          <w:rFonts w:hint="eastAsia" w:ascii="Times New Roman" w:hAnsi="Times New Roman" w:eastAsia="仿宋_GB2312" w:cs="Times New Roman"/>
          <w:sz w:val="32"/>
          <w:szCs w:val="32"/>
          <w:highlight w:val="none"/>
          <w:u w:val="single"/>
          <w:lang w:val="en-US" w:eastAsia="zh-CN"/>
        </w:rPr>
        <w:t>10.2</w:t>
      </w:r>
      <w:r>
        <w:rPr>
          <w:rFonts w:hint="eastAsia" w:eastAsia="仿宋_GB2312" w:cs="Times New Roman"/>
          <w:sz w:val="32"/>
          <w:szCs w:val="32"/>
          <w:highlight w:val="none"/>
          <w:u w:val="single"/>
          <w:lang w:val="en-US" w:eastAsia="zh-CN"/>
        </w:rPr>
        <w:t>2</w:t>
      </w:r>
      <w:r>
        <w:rPr>
          <w:rFonts w:hint="eastAsia" w:ascii="Times New Roman" w:hAnsi="Times New Roman" w:eastAsia="仿宋_GB2312" w:cs="Times New Roman"/>
          <w:sz w:val="32"/>
          <w:szCs w:val="32"/>
          <w:highlight w:val="none"/>
          <w:lang w:val="en-US" w:eastAsia="zh-CN"/>
        </w:rPr>
        <w:t>%。变动原因：本年保险基数调整。</w:t>
      </w:r>
    </w:p>
    <w:p>
      <w:pPr>
        <w:pStyle w:val="10"/>
        <w:tabs>
          <w:tab w:val="left" w:pos="4275"/>
        </w:tabs>
        <w:spacing w:after="0" w:line="600" w:lineRule="exact"/>
        <w:ind w:firstLine="643" w:firstLineChars="200"/>
        <w:rPr>
          <w:rFonts w:hint="default"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（四）科学技术（类）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科学技术（类）预算数为</w:t>
      </w:r>
      <w:r>
        <w:rPr>
          <w:rFonts w:hint="eastAsia" w:eastAsia="仿宋_GB2312" w:cs="Times New Roman"/>
          <w:sz w:val="32"/>
          <w:szCs w:val="32"/>
          <w:highlight w:val="none"/>
          <w:u w:val="single"/>
          <w:lang w:val="en-US" w:eastAsia="zh-CN"/>
        </w:rPr>
        <w:t>1004.49</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389.68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63.38</w:t>
      </w:r>
      <w:r>
        <w:rPr>
          <w:rFonts w:hint="eastAsia" w:ascii="Times New Roman" w:hAnsi="Times New Roman" w:eastAsia="仿宋_GB2312" w:cs="Times New Roman"/>
          <w:sz w:val="32"/>
          <w:szCs w:val="32"/>
          <w:highlight w:val="none"/>
          <w:lang w:val="en-US" w:eastAsia="zh-CN"/>
        </w:rPr>
        <w:t>%。其中：</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1.科学技术管理事务（款）行政运行（项）。年初预算</w:t>
      </w:r>
      <w:r>
        <w:rPr>
          <w:rFonts w:hint="eastAsia" w:eastAsia="仿宋_GB2312" w:cs="Times New Roman"/>
          <w:sz w:val="32"/>
          <w:szCs w:val="32"/>
          <w:highlight w:val="none"/>
          <w:u w:val="single"/>
          <w:lang w:val="en-US" w:eastAsia="zh-CN"/>
        </w:rPr>
        <w:t>133.34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22.16</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19.93</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2.科学技术管理事务（款）其他科学技术管理事务支出（项）。年初预算</w:t>
      </w:r>
      <w:r>
        <w:rPr>
          <w:rFonts w:hint="eastAsia" w:eastAsia="仿宋_GB2312" w:cs="Times New Roman"/>
          <w:sz w:val="32"/>
          <w:szCs w:val="32"/>
          <w:highlight w:val="none"/>
          <w:u w:val="single"/>
          <w:lang w:val="en-US" w:eastAsia="zh-CN"/>
        </w:rPr>
        <w:t>22.8</w:t>
      </w:r>
      <w:r>
        <w:rPr>
          <w:rFonts w:hint="eastAsia" w:ascii="Times New Roman" w:hAnsi="Times New Roman" w:eastAsia="仿宋_GB2312" w:cs="Times New Roman"/>
          <w:sz w:val="32"/>
          <w:szCs w:val="32"/>
          <w:highlight w:val="none"/>
          <w:lang w:val="en-US" w:eastAsia="zh-CN"/>
        </w:rPr>
        <w:t>万元，与上年相比</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0</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本年与上年持平</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eastAsia" w:ascii="Times New Roman" w:hAnsi="Times New Roman" w:eastAsia="仿宋_GB2312" w:cs="Times New Roman"/>
          <w:sz w:val="32"/>
          <w:szCs w:val="32"/>
          <w:highlight w:val="none"/>
          <w:lang w:val="en-US" w:eastAsia="zh-CN"/>
        </w:rPr>
        <w:t>.科学技术普及（款）科普活动（项）。年初预算</w:t>
      </w:r>
      <w:r>
        <w:rPr>
          <w:rFonts w:hint="eastAsia" w:eastAsia="仿宋_GB2312" w:cs="Times New Roman"/>
          <w:sz w:val="32"/>
          <w:szCs w:val="32"/>
          <w:highlight w:val="none"/>
          <w:u w:val="single"/>
          <w:lang w:val="en-US" w:eastAsia="zh-CN"/>
        </w:rPr>
        <w:t>235</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125</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113.64</w:t>
      </w:r>
      <w:r>
        <w:rPr>
          <w:rFonts w:hint="eastAsia" w:ascii="Times New Roman" w:hAnsi="Times New Roman" w:eastAsia="仿宋_GB2312" w:cs="Times New Roman"/>
          <w:sz w:val="32"/>
          <w:szCs w:val="32"/>
          <w:highlight w:val="none"/>
          <w:lang w:val="en-US" w:eastAsia="zh-CN"/>
        </w:rPr>
        <w:t>%。主要原因是本年</w:t>
      </w:r>
      <w:r>
        <w:rPr>
          <w:rFonts w:hint="eastAsia" w:eastAsia="仿宋_GB2312" w:cs="Times New Roman"/>
          <w:sz w:val="32"/>
          <w:szCs w:val="32"/>
          <w:highlight w:val="none"/>
          <w:lang w:val="en-US" w:eastAsia="zh-CN"/>
        </w:rPr>
        <w:t>项目</w:t>
      </w:r>
      <w:r>
        <w:rPr>
          <w:rFonts w:hint="eastAsia" w:ascii="Times New Roman" w:hAnsi="Times New Roman" w:eastAsia="仿宋_GB2312" w:cs="Times New Roman"/>
          <w:sz w:val="32"/>
          <w:szCs w:val="32"/>
          <w:highlight w:val="none"/>
          <w:lang w:val="en-US" w:eastAsia="zh-CN"/>
        </w:rPr>
        <w:t>经费增加。</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.科学技术普及（款）科技馆站（项）。年初预算</w:t>
      </w:r>
      <w:r>
        <w:rPr>
          <w:rFonts w:hint="eastAsia" w:eastAsia="仿宋_GB2312" w:cs="Times New Roman"/>
          <w:sz w:val="32"/>
          <w:szCs w:val="32"/>
          <w:highlight w:val="none"/>
          <w:u w:val="single"/>
          <w:lang w:val="en-US" w:eastAsia="zh-CN"/>
        </w:rPr>
        <w:t>500.34</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129.51</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34.92</w:t>
      </w:r>
      <w:r>
        <w:rPr>
          <w:rFonts w:hint="eastAsia" w:ascii="Times New Roman" w:hAnsi="Times New Roman" w:eastAsia="仿宋_GB2312" w:cs="Times New Roman"/>
          <w:sz w:val="32"/>
          <w:szCs w:val="32"/>
          <w:highlight w:val="none"/>
          <w:lang w:val="en-US" w:eastAsia="zh-CN"/>
        </w:rPr>
        <w:t>%。主要原因是本年科技馆人员和项目经费增加。</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5.科学技术普及（款）其他科学技术普及支出（项）。年初预算113万元，与上年相比增加113万元，增长100%。主要原因是本年项目经费增加。</w:t>
      </w:r>
    </w:p>
    <w:p>
      <w:pPr>
        <w:pStyle w:val="10"/>
        <w:tabs>
          <w:tab w:val="left" w:pos="4275"/>
        </w:tabs>
        <w:spacing w:after="0" w:line="600" w:lineRule="exact"/>
        <w:ind w:firstLine="643" w:firstLineChars="200"/>
        <w:rPr>
          <w:rFonts w:hint="default"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（五）卫生健康（类）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卫生健康（类）预算数为</w:t>
      </w:r>
      <w:r>
        <w:rPr>
          <w:rFonts w:hint="eastAsia" w:eastAsia="仿宋_GB2312" w:cs="Times New Roman"/>
          <w:sz w:val="32"/>
          <w:szCs w:val="32"/>
          <w:highlight w:val="none"/>
          <w:u w:val="single"/>
          <w:lang w:val="en-US" w:eastAsia="zh-CN"/>
        </w:rPr>
        <w:t>40.83</w:t>
      </w:r>
      <w:r>
        <w:rPr>
          <w:rFonts w:hint="eastAsia" w:ascii="Times New Roman" w:hAnsi="Times New Roman" w:eastAsia="仿宋_GB2312" w:cs="Times New Roman"/>
          <w:sz w:val="32"/>
          <w:szCs w:val="32"/>
          <w:highlight w:val="none"/>
          <w:lang w:val="en-US" w:eastAsia="zh-CN"/>
        </w:rPr>
        <w:t>万元，与上年相比</w:t>
      </w:r>
      <w:r>
        <w:rPr>
          <w:rFonts w:hint="eastAsia" w:eastAsia="仿宋_GB2312" w:cs="Times New Roman"/>
          <w:sz w:val="32"/>
          <w:szCs w:val="32"/>
          <w:highlight w:val="none"/>
          <w:lang w:val="en-US" w:eastAsia="zh-CN"/>
        </w:rPr>
        <w:t>增加</w:t>
      </w:r>
      <w:r>
        <w:rPr>
          <w:rFonts w:hint="eastAsia" w:eastAsia="仿宋_GB2312" w:cs="Times New Roman"/>
          <w:sz w:val="32"/>
          <w:szCs w:val="32"/>
          <w:highlight w:val="none"/>
          <w:u w:val="single"/>
          <w:lang w:val="en-US" w:eastAsia="zh-CN"/>
        </w:rPr>
        <w:t>2.22</w:t>
      </w:r>
      <w:r>
        <w:rPr>
          <w:rFonts w:hint="eastAsia"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增长</w:t>
      </w:r>
      <w:r>
        <w:rPr>
          <w:rFonts w:hint="eastAsia" w:eastAsia="仿宋_GB2312" w:cs="Times New Roman"/>
          <w:sz w:val="32"/>
          <w:szCs w:val="32"/>
          <w:highlight w:val="none"/>
          <w:u w:val="single"/>
          <w:lang w:val="en-US" w:eastAsia="zh-CN"/>
        </w:rPr>
        <w:t>5.75</w:t>
      </w:r>
      <w:r>
        <w:rPr>
          <w:rFonts w:hint="eastAsia" w:ascii="Times New Roman" w:hAnsi="Times New Roman" w:eastAsia="仿宋_GB2312" w:cs="Times New Roman"/>
          <w:sz w:val="32"/>
          <w:szCs w:val="32"/>
          <w:highlight w:val="none"/>
          <w:lang w:val="en-US" w:eastAsia="zh-CN"/>
        </w:rPr>
        <w:t>%。其中：</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1.行政事业单位医疗（款）行政单位医疗（项）。年初预算</w:t>
      </w:r>
      <w:r>
        <w:rPr>
          <w:rFonts w:hint="eastAsia" w:eastAsia="仿宋_GB2312" w:cs="Times New Roman"/>
          <w:sz w:val="32"/>
          <w:szCs w:val="32"/>
          <w:highlight w:val="none"/>
          <w:u w:val="single"/>
          <w:lang w:val="en-US" w:eastAsia="zh-CN"/>
        </w:rPr>
        <w:t>8.47</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0.39</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4.83</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2.行政事业单位医疗（款）事业单位医疗（项）。年初预算</w:t>
      </w:r>
      <w:r>
        <w:rPr>
          <w:rFonts w:hint="eastAsia" w:eastAsia="仿宋_GB2312" w:cs="Times New Roman"/>
          <w:sz w:val="32"/>
          <w:szCs w:val="32"/>
          <w:highlight w:val="none"/>
          <w:u w:val="single"/>
          <w:lang w:val="en-US" w:eastAsia="zh-CN"/>
        </w:rPr>
        <w:t>25.22</w:t>
      </w:r>
      <w:r>
        <w:rPr>
          <w:rFonts w:hint="eastAsia" w:ascii="Times New Roman" w:hAnsi="Times New Roman" w:eastAsia="仿宋_GB2312" w:cs="Times New Roman"/>
          <w:sz w:val="32"/>
          <w:szCs w:val="32"/>
          <w:highlight w:val="none"/>
          <w:lang w:val="en-US" w:eastAsia="zh-CN"/>
        </w:rPr>
        <w:t>万元，与上年相比</w:t>
      </w:r>
      <w:r>
        <w:rPr>
          <w:rFonts w:hint="eastAsia" w:eastAsia="仿宋_GB2312" w:cs="Times New Roman"/>
          <w:sz w:val="32"/>
          <w:szCs w:val="32"/>
          <w:highlight w:val="none"/>
          <w:lang w:val="en-US" w:eastAsia="zh-CN"/>
        </w:rPr>
        <w:t>减少</w:t>
      </w:r>
      <w:r>
        <w:rPr>
          <w:rFonts w:hint="eastAsia" w:eastAsia="仿宋_GB2312" w:cs="Times New Roman"/>
          <w:sz w:val="32"/>
          <w:szCs w:val="32"/>
          <w:highlight w:val="none"/>
          <w:u w:val="single"/>
          <w:lang w:val="en-US" w:eastAsia="zh-CN"/>
        </w:rPr>
        <w:t>1.06</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4.03</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2023年有1人退休</w:t>
      </w:r>
      <w:r>
        <w:rPr>
          <w:rFonts w:hint="eastAsia" w:ascii="Times New Roman" w:hAnsi="Times New Roman" w:eastAsia="仿宋_GB2312" w:cs="Times New Roman"/>
          <w:sz w:val="32"/>
          <w:szCs w:val="32"/>
          <w:highlight w:val="none"/>
          <w:lang w:val="en-US" w:eastAsia="zh-CN"/>
        </w:rPr>
        <w:t>。</w:t>
      </w:r>
    </w:p>
    <w:p>
      <w:pPr>
        <w:pStyle w:val="10"/>
        <w:tabs>
          <w:tab w:val="left" w:pos="2671"/>
          <w:tab w:val="left" w:pos="5000"/>
          <w:tab w:val="left" w:pos="6190"/>
        </w:tabs>
        <w:spacing w:after="0" w:line="60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3.行政事业单位医疗（款）公务员医疗补助（项）。年初预算</w:t>
      </w:r>
      <w:r>
        <w:rPr>
          <w:rFonts w:hint="eastAsia" w:eastAsia="仿宋_GB2312" w:cs="Times New Roman"/>
          <w:sz w:val="32"/>
          <w:szCs w:val="32"/>
          <w:highlight w:val="none"/>
          <w:u w:val="single"/>
          <w:lang w:val="en-US" w:eastAsia="zh-CN"/>
        </w:rPr>
        <w:t>7.14</w:t>
      </w:r>
      <w:r>
        <w:rPr>
          <w:rFonts w:hint="eastAsia" w:ascii="Times New Roman" w:hAnsi="Times New Roman" w:eastAsia="仿宋_GB2312" w:cs="Times New Roman"/>
          <w:sz w:val="32"/>
          <w:szCs w:val="32"/>
          <w:highlight w:val="none"/>
          <w:lang w:val="en-US" w:eastAsia="zh-CN"/>
        </w:rPr>
        <w:t>万元，与上年相比增加</w:t>
      </w:r>
      <w:r>
        <w:rPr>
          <w:rFonts w:hint="eastAsia" w:ascii="Times New Roman" w:hAnsi="Times New Roman" w:eastAsia="仿宋_GB2312" w:cs="Times New Roman"/>
          <w:sz w:val="32"/>
          <w:szCs w:val="32"/>
          <w:highlight w:val="none"/>
          <w:u w:val="single"/>
          <w:lang w:val="en-US" w:eastAsia="zh-CN"/>
        </w:rPr>
        <w:t>2.8</w:t>
      </w:r>
      <w:r>
        <w:rPr>
          <w:rFonts w:hint="eastAsia" w:eastAsia="仿宋_GB2312" w:cs="Times New Roman"/>
          <w:sz w:val="32"/>
          <w:szCs w:val="32"/>
          <w:highlight w:val="none"/>
          <w:u w:val="single"/>
          <w:lang w:val="en-US" w:eastAsia="zh-CN"/>
        </w:rPr>
        <w:t>8</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67.61</w:t>
      </w:r>
      <w:r>
        <w:rPr>
          <w:rFonts w:hint="eastAsia" w:ascii="Times New Roman" w:hAnsi="Times New Roman" w:eastAsia="仿宋_GB2312" w:cs="Times New Roman"/>
          <w:sz w:val="32"/>
          <w:szCs w:val="32"/>
          <w:highlight w:val="none"/>
          <w:lang w:val="en-US" w:eastAsia="zh-CN"/>
        </w:rPr>
        <w:t>%。主要原因是</w:t>
      </w:r>
      <w:r>
        <w:rPr>
          <w:rFonts w:hint="eastAsia" w:eastAsia="仿宋_GB2312" w:cs="Times New Roman"/>
          <w:sz w:val="32"/>
          <w:szCs w:val="32"/>
          <w:highlight w:val="none"/>
          <w:lang w:val="en-US" w:eastAsia="zh-CN"/>
        </w:rPr>
        <w:t>人员增加</w:t>
      </w:r>
      <w:r>
        <w:rPr>
          <w:rFonts w:hint="eastAsia" w:ascii="Times New Roman" w:hAnsi="Times New Roman" w:eastAsia="仿宋_GB2312" w:cs="Times New Roman"/>
          <w:sz w:val="32"/>
          <w:szCs w:val="32"/>
          <w:highlight w:val="none"/>
          <w:lang w:val="en-US" w:eastAsia="zh-CN"/>
        </w:rPr>
        <w:t>。</w:t>
      </w:r>
    </w:p>
    <w:p>
      <w:pPr>
        <w:pStyle w:val="10"/>
        <w:tabs>
          <w:tab w:val="left" w:pos="4275"/>
        </w:tabs>
        <w:spacing w:after="0" w:line="600" w:lineRule="exact"/>
        <w:ind w:firstLine="643" w:firstLineChars="200"/>
        <w:rPr>
          <w:rFonts w:hint="eastAsia" w:ascii="楷体" w:hAnsi="楷体" w:eastAsia="楷体" w:cs="楷体"/>
          <w:b/>
          <w:bCs/>
          <w:sz w:val="32"/>
          <w:szCs w:val="32"/>
          <w:highlight w:val="none"/>
          <w:lang w:val="en-US" w:eastAsia="zh-CN"/>
        </w:rPr>
      </w:pPr>
      <w:r>
        <w:rPr>
          <w:rFonts w:hint="eastAsia" w:ascii="楷体" w:hAnsi="楷体" w:eastAsia="楷体" w:cs="楷体"/>
          <w:b/>
          <w:bCs/>
          <w:sz w:val="32"/>
          <w:szCs w:val="32"/>
          <w:highlight w:val="none"/>
          <w:lang w:val="en-US" w:eastAsia="zh-CN"/>
        </w:rPr>
        <w:t>（六）住房保障（类）</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住房保障（类）预算数为</w:t>
      </w:r>
      <w:r>
        <w:rPr>
          <w:rFonts w:hint="eastAsia" w:eastAsia="仿宋_GB2312" w:cs="Times New Roman"/>
          <w:sz w:val="32"/>
          <w:szCs w:val="32"/>
          <w:highlight w:val="none"/>
          <w:u w:val="single"/>
          <w:lang w:val="en-US" w:eastAsia="zh-CN"/>
        </w:rPr>
        <w:t>57.21</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6.1</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11.93</w:t>
      </w:r>
      <w:r>
        <w:rPr>
          <w:rFonts w:hint="eastAsia" w:ascii="Times New Roman" w:hAnsi="Times New Roman" w:eastAsia="仿宋_GB2312" w:cs="Times New Roman"/>
          <w:sz w:val="32"/>
          <w:szCs w:val="32"/>
          <w:highlight w:val="none"/>
          <w:lang w:val="en-US" w:eastAsia="zh-CN"/>
        </w:rPr>
        <w:t>%。其中：</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1.住房改革支出（款）住房公积金（项）。年初预算</w:t>
      </w:r>
      <w:r>
        <w:rPr>
          <w:rFonts w:hint="eastAsia" w:eastAsia="仿宋_GB2312" w:cs="Times New Roman"/>
          <w:sz w:val="32"/>
          <w:szCs w:val="32"/>
          <w:highlight w:val="none"/>
          <w:u w:val="single"/>
          <w:lang w:val="en-US" w:eastAsia="zh-CN"/>
        </w:rPr>
        <w:t>57.21</w:t>
      </w:r>
      <w:r>
        <w:rPr>
          <w:rFonts w:hint="eastAsia" w:ascii="Times New Roman" w:hAnsi="Times New Roman" w:eastAsia="仿宋_GB2312" w:cs="Times New Roman"/>
          <w:sz w:val="32"/>
          <w:szCs w:val="32"/>
          <w:highlight w:val="none"/>
          <w:lang w:val="en-US" w:eastAsia="zh-CN"/>
        </w:rPr>
        <w:t>万元，与上年相比增加</w:t>
      </w:r>
      <w:r>
        <w:rPr>
          <w:rFonts w:hint="eastAsia" w:eastAsia="仿宋_GB2312" w:cs="Times New Roman"/>
          <w:sz w:val="32"/>
          <w:szCs w:val="32"/>
          <w:highlight w:val="none"/>
          <w:u w:val="single"/>
          <w:lang w:val="en-US" w:eastAsia="zh-CN"/>
        </w:rPr>
        <w:t>6.1</w:t>
      </w:r>
      <w:r>
        <w:rPr>
          <w:rFonts w:hint="eastAsia" w:ascii="Times New Roman" w:hAnsi="Times New Roman" w:eastAsia="仿宋_GB2312" w:cs="Times New Roman"/>
          <w:sz w:val="32"/>
          <w:szCs w:val="32"/>
          <w:highlight w:val="none"/>
          <w:lang w:val="en-US" w:eastAsia="zh-CN"/>
        </w:rPr>
        <w:t>万元，增长</w:t>
      </w:r>
      <w:r>
        <w:rPr>
          <w:rFonts w:hint="eastAsia" w:eastAsia="仿宋_GB2312" w:cs="Times New Roman"/>
          <w:sz w:val="32"/>
          <w:szCs w:val="32"/>
          <w:highlight w:val="none"/>
          <w:u w:val="single"/>
          <w:lang w:val="en-US" w:eastAsia="zh-CN"/>
        </w:rPr>
        <w:t>11.93</w:t>
      </w:r>
      <w:r>
        <w:rPr>
          <w:rFonts w:hint="eastAsia" w:ascii="Times New Roman" w:hAnsi="Times New Roman" w:eastAsia="仿宋_GB2312" w:cs="Times New Roman"/>
          <w:sz w:val="32"/>
          <w:szCs w:val="32"/>
          <w:highlight w:val="none"/>
          <w:lang w:val="en-US" w:eastAsia="zh-CN"/>
        </w:rPr>
        <w:t>%。主要原因是本年住房公积金缴纳基数较上年有所增加</w:t>
      </w:r>
      <w:r>
        <w:rPr>
          <w:rFonts w:hint="eastAsia" w:eastAsia="仿宋_GB2312" w:cs="Times New Roman"/>
          <w:sz w:val="32"/>
          <w:szCs w:val="32"/>
          <w:highlight w:val="none"/>
          <w:lang w:val="en-US" w:eastAsia="zh-CN"/>
        </w:rPr>
        <w:t>且人员增加</w:t>
      </w:r>
      <w:r>
        <w:rPr>
          <w:rFonts w:hint="eastAsia"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 xml:space="preserve"> </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六、一般公共预算基本支出预算情况说明</w:t>
      </w:r>
    </w:p>
    <w:p>
      <w:pPr>
        <w:pStyle w:val="10"/>
        <w:tabs>
          <w:tab w:val="left" w:pos="2671"/>
          <w:tab w:val="left" w:pos="5000"/>
          <w:tab w:val="left" w:pos="6190"/>
        </w:tabs>
        <w:spacing w:after="0" w:line="600" w:lineRule="exact"/>
        <w:ind w:firstLine="640" w:firstLineChars="200"/>
        <w:rPr>
          <w:rFonts w:hint="eastAsia" w:ascii="Times New Roman" w:hAnsi="Times New Roman" w:eastAsia="仿宋_GB2312" w:cs="仿宋"/>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hint="eastAsia" w:ascii="Times New Roman" w:hAnsi="Times New Roman" w:eastAsia="仿宋_GB2312" w:cs="仿宋"/>
          <w:sz w:val="32"/>
          <w:szCs w:val="32"/>
          <w:highlight w:val="none"/>
        </w:rPr>
        <w:t>年度一般公共预算财政拨款基本支出预算</w:t>
      </w:r>
      <w:r>
        <w:rPr>
          <w:rFonts w:hint="eastAsia" w:eastAsia="仿宋_GB2312" w:cs="仿宋"/>
          <w:sz w:val="32"/>
          <w:szCs w:val="32"/>
          <w:highlight w:val="none"/>
          <w:u w:val="single"/>
          <w:lang w:val="en-US" w:eastAsia="zh-CN"/>
        </w:rPr>
        <w:t>703.38</w:t>
      </w:r>
      <w:r>
        <w:rPr>
          <w:rFonts w:hint="eastAsia" w:ascii="Times New Roman" w:hAnsi="Times New Roman" w:eastAsia="仿宋_GB2312" w:cs="仿宋"/>
          <w:sz w:val="32"/>
          <w:szCs w:val="32"/>
          <w:highlight w:val="none"/>
        </w:rPr>
        <w:t>万元，其中：</w:t>
      </w:r>
    </w:p>
    <w:p>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（一）人员经费</w:t>
      </w:r>
      <w:r>
        <w:rPr>
          <w:rFonts w:hint="eastAsia" w:eastAsia="仿宋_GB2312" w:cs="仿宋"/>
          <w:b/>
          <w:bCs/>
          <w:sz w:val="32"/>
          <w:szCs w:val="32"/>
          <w:highlight w:val="none"/>
          <w:u w:val="single"/>
          <w:lang w:val="en-US" w:eastAsia="zh-CN"/>
        </w:rPr>
        <w:t>668.74</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。主要包括：基本工资</w:t>
      </w:r>
      <w:r>
        <w:rPr>
          <w:rFonts w:hint="eastAsia" w:eastAsia="仿宋_GB2312" w:cs="仿宋"/>
          <w:sz w:val="32"/>
          <w:szCs w:val="32"/>
          <w:highlight w:val="none"/>
          <w:lang w:val="en-US" w:eastAsia="zh-CN"/>
        </w:rPr>
        <w:t>208.82万元</w:t>
      </w:r>
      <w:r>
        <w:rPr>
          <w:rFonts w:hint="eastAsia" w:ascii="Times New Roman" w:hAnsi="Times New Roman" w:eastAsia="仿宋_GB2312" w:cs="仿宋"/>
          <w:sz w:val="32"/>
          <w:szCs w:val="32"/>
          <w:highlight w:val="none"/>
        </w:rPr>
        <w:t>、津贴补贴</w:t>
      </w:r>
      <w:r>
        <w:rPr>
          <w:rFonts w:hint="eastAsia" w:eastAsia="仿宋_GB2312" w:cs="仿宋"/>
          <w:sz w:val="32"/>
          <w:szCs w:val="32"/>
          <w:highlight w:val="none"/>
          <w:lang w:val="en-US" w:eastAsia="zh-CN"/>
        </w:rPr>
        <w:t>68.59万元</w:t>
      </w:r>
      <w:r>
        <w:rPr>
          <w:rFonts w:hint="eastAsia" w:ascii="Times New Roman" w:hAnsi="Times New Roman" w:eastAsia="仿宋_GB2312" w:cs="仿宋"/>
          <w:sz w:val="32"/>
          <w:szCs w:val="32"/>
          <w:highlight w:val="none"/>
        </w:rPr>
        <w:t>、奖金</w:t>
      </w:r>
      <w:r>
        <w:rPr>
          <w:rFonts w:hint="eastAsia" w:eastAsia="仿宋_GB2312" w:cs="仿宋"/>
          <w:sz w:val="32"/>
          <w:szCs w:val="32"/>
          <w:highlight w:val="none"/>
          <w:lang w:val="en-US" w:eastAsia="zh-CN"/>
        </w:rPr>
        <w:t>52.91万元</w:t>
      </w:r>
      <w:r>
        <w:rPr>
          <w:rFonts w:hint="eastAsia" w:ascii="Times New Roman" w:hAnsi="Times New Roman" w:eastAsia="仿宋_GB2312" w:cs="仿宋"/>
          <w:sz w:val="32"/>
          <w:szCs w:val="32"/>
          <w:highlight w:val="none"/>
        </w:rPr>
        <w:t>、绩效工资</w:t>
      </w:r>
      <w:r>
        <w:rPr>
          <w:rFonts w:hint="eastAsia" w:eastAsia="仿宋_GB2312" w:cs="仿宋"/>
          <w:sz w:val="32"/>
          <w:szCs w:val="32"/>
          <w:highlight w:val="none"/>
          <w:lang w:val="en-US" w:eastAsia="zh-CN"/>
        </w:rPr>
        <w:t>130.74万元</w:t>
      </w:r>
      <w:r>
        <w:rPr>
          <w:rFonts w:hint="eastAsia" w:ascii="Times New Roman" w:hAnsi="Times New Roman" w:eastAsia="仿宋_GB2312" w:cs="仿宋"/>
          <w:sz w:val="32"/>
          <w:szCs w:val="32"/>
          <w:highlight w:val="none"/>
        </w:rPr>
        <w:t>、机关事业单位基本养老保险缴费</w:t>
      </w:r>
      <w:r>
        <w:rPr>
          <w:rFonts w:hint="eastAsia" w:eastAsia="仿宋_GB2312" w:cs="仿宋"/>
          <w:sz w:val="32"/>
          <w:szCs w:val="32"/>
          <w:highlight w:val="none"/>
          <w:lang w:val="en-US" w:eastAsia="zh-CN"/>
        </w:rPr>
        <w:t>76.29万元</w:t>
      </w:r>
      <w:r>
        <w:rPr>
          <w:rFonts w:hint="eastAsia" w:eastAsia="仿宋_GB2312" w:cs="仿宋"/>
          <w:sz w:val="32"/>
          <w:szCs w:val="32"/>
          <w:highlight w:val="none"/>
          <w:lang w:eastAsia="zh-CN"/>
        </w:rPr>
        <w:t>、职工基本医疗保险缴费</w:t>
      </w:r>
      <w:r>
        <w:rPr>
          <w:rFonts w:hint="eastAsia" w:eastAsia="仿宋_GB2312" w:cs="仿宋"/>
          <w:sz w:val="32"/>
          <w:szCs w:val="32"/>
          <w:highlight w:val="none"/>
          <w:lang w:val="en-US" w:eastAsia="zh-CN"/>
        </w:rPr>
        <w:t>33.37万元</w:t>
      </w:r>
      <w:r>
        <w:rPr>
          <w:rFonts w:hint="eastAsia" w:eastAsia="仿宋_GB2312" w:cs="仿宋"/>
          <w:sz w:val="32"/>
          <w:szCs w:val="32"/>
          <w:highlight w:val="none"/>
          <w:lang w:eastAsia="zh-CN"/>
        </w:rPr>
        <w:t>、公务员医疗补助缴费</w:t>
      </w:r>
      <w:r>
        <w:rPr>
          <w:rFonts w:hint="eastAsia" w:eastAsia="仿宋_GB2312" w:cs="仿宋"/>
          <w:sz w:val="32"/>
          <w:szCs w:val="32"/>
          <w:highlight w:val="none"/>
          <w:lang w:val="en-US" w:eastAsia="zh-CN"/>
        </w:rPr>
        <w:t>7.14万元</w:t>
      </w:r>
      <w:r>
        <w:rPr>
          <w:rFonts w:hint="eastAsia" w:eastAsia="仿宋_GB2312" w:cs="仿宋"/>
          <w:sz w:val="32"/>
          <w:szCs w:val="32"/>
          <w:highlight w:val="none"/>
          <w:lang w:eastAsia="zh-CN"/>
        </w:rPr>
        <w:t>、其他社会保障缴费</w:t>
      </w:r>
      <w:r>
        <w:rPr>
          <w:rFonts w:hint="eastAsia" w:eastAsia="仿宋_GB2312" w:cs="仿宋"/>
          <w:sz w:val="32"/>
          <w:szCs w:val="32"/>
          <w:highlight w:val="none"/>
          <w:lang w:val="en-US" w:eastAsia="zh-CN"/>
        </w:rPr>
        <w:t>10.27万元</w:t>
      </w:r>
      <w:r>
        <w:rPr>
          <w:rFonts w:hint="eastAsia" w:eastAsia="仿宋_GB2312" w:cs="仿宋"/>
          <w:sz w:val="32"/>
          <w:szCs w:val="32"/>
          <w:highlight w:val="none"/>
          <w:lang w:eastAsia="zh-CN"/>
        </w:rPr>
        <w:t>、</w:t>
      </w:r>
      <w:r>
        <w:rPr>
          <w:rFonts w:hint="eastAsia" w:ascii="Times New Roman" w:hAnsi="Times New Roman" w:eastAsia="仿宋_GB2312" w:cs="仿宋"/>
          <w:sz w:val="32"/>
          <w:szCs w:val="32"/>
          <w:highlight w:val="none"/>
        </w:rPr>
        <w:t>住房公积金</w:t>
      </w:r>
      <w:r>
        <w:rPr>
          <w:rFonts w:hint="eastAsia" w:eastAsia="仿宋_GB2312" w:cs="仿宋"/>
          <w:sz w:val="32"/>
          <w:szCs w:val="32"/>
          <w:highlight w:val="none"/>
          <w:lang w:val="en-US" w:eastAsia="zh-CN"/>
        </w:rPr>
        <w:t>57.21万元、退休费23.40万元</w:t>
      </w:r>
      <w:r>
        <w:rPr>
          <w:rFonts w:hint="eastAsia" w:ascii="Times New Roman" w:hAnsi="Times New Roman" w:eastAsia="仿宋_GB2312" w:cs="仿宋"/>
          <w:sz w:val="32"/>
          <w:szCs w:val="32"/>
          <w:highlight w:val="none"/>
        </w:rPr>
        <w:t>。</w:t>
      </w:r>
    </w:p>
    <w:p>
      <w:pPr>
        <w:pStyle w:val="10"/>
        <w:tabs>
          <w:tab w:val="left" w:pos="2671"/>
          <w:tab w:val="left" w:pos="5000"/>
          <w:tab w:val="left" w:pos="6190"/>
        </w:tabs>
        <w:spacing w:after="0" w:line="600" w:lineRule="exact"/>
        <w:ind w:firstLine="643" w:firstLineChars="200"/>
        <w:rPr>
          <w:rFonts w:hint="eastAsia" w:ascii="Times New Roman" w:hAnsi="Times New Roman" w:eastAsia="仿宋_GB2312" w:cs="仿宋"/>
          <w:sz w:val="32"/>
          <w:szCs w:val="32"/>
          <w:highlight w:val="none"/>
        </w:rPr>
      </w:pPr>
      <w:r>
        <w:rPr>
          <w:rFonts w:hint="eastAsia" w:ascii="Times New Roman" w:hAnsi="Times New Roman" w:eastAsia="仿宋_GB2312" w:cs="仿宋"/>
          <w:b/>
          <w:bCs/>
          <w:sz w:val="32"/>
          <w:szCs w:val="32"/>
          <w:highlight w:val="none"/>
        </w:rPr>
        <w:t>（二）公用经费</w:t>
      </w:r>
      <w:r>
        <w:rPr>
          <w:rFonts w:hint="eastAsia" w:eastAsia="仿宋_GB2312" w:cs="仿宋"/>
          <w:b/>
          <w:bCs/>
          <w:sz w:val="32"/>
          <w:szCs w:val="32"/>
          <w:highlight w:val="none"/>
          <w:u w:val="single"/>
          <w:lang w:val="en-US" w:eastAsia="zh-CN"/>
        </w:rPr>
        <w:t>34.64</w:t>
      </w:r>
      <w:r>
        <w:rPr>
          <w:rFonts w:hint="eastAsia" w:ascii="Times New Roman" w:hAnsi="Times New Roman" w:eastAsia="仿宋_GB2312" w:cs="仿宋"/>
          <w:b/>
          <w:bCs/>
          <w:sz w:val="32"/>
          <w:szCs w:val="32"/>
          <w:highlight w:val="none"/>
        </w:rPr>
        <w:t>万元</w:t>
      </w:r>
      <w:r>
        <w:rPr>
          <w:rFonts w:hint="eastAsia" w:ascii="Times New Roman" w:hAnsi="Times New Roman" w:eastAsia="仿宋_GB2312" w:cs="仿宋"/>
          <w:sz w:val="32"/>
          <w:szCs w:val="32"/>
          <w:highlight w:val="none"/>
        </w:rPr>
        <w:t>。主要包括：办公费</w:t>
      </w:r>
      <w:r>
        <w:rPr>
          <w:rFonts w:hint="eastAsia" w:eastAsia="仿宋_GB2312" w:cs="仿宋"/>
          <w:sz w:val="32"/>
          <w:szCs w:val="32"/>
          <w:highlight w:val="none"/>
          <w:lang w:val="en-US" w:eastAsia="zh-CN"/>
        </w:rPr>
        <w:t>8.26万元</w:t>
      </w:r>
      <w:r>
        <w:rPr>
          <w:rFonts w:hint="eastAsia" w:ascii="Times New Roman" w:hAnsi="Times New Roman" w:eastAsia="仿宋_GB2312" w:cs="仿宋"/>
          <w:sz w:val="32"/>
          <w:szCs w:val="32"/>
          <w:highlight w:val="none"/>
        </w:rPr>
        <w:t>、印刷费</w:t>
      </w:r>
      <w:r>
        <w:rPr>
          <w:rFonts w:hint="eastAsia" w:eastAsia="仿宋_GB2312" w:cs="仿宋"/>
          <w:sz w:val="32"/>
          <w:szCs w:val="32"/>
          <w:highlight w:val="none"/>
          <w:lang w:val="en-US" w:eastAsia="zh-CN"/>
        </w:rPr>
        <w:t>0.50万元</w:t>
      </w:r>
      <w:r>
        <w:rPr>
          <w:rFonts w:hint="eastAsia" w:ascii="Times New Roman" w:hAnsi="Times New Roman" w:eastAsia="仿宋_GB2312" w:cs="仿宋"/>
          <w:sz w:val="32"/>
          <w:szCs w:val="32"/>
          <w:highlight w:val="none"/>
        </w:rPr>
        <w:t>、手续费</w:t>
      </w:r>
      <w:r>
        <w:rPr>
          <w:rFonts w:hint="eastAsia" w:eastAsia="仿宋_GB2312" w:cs="仿宋"/>
          <w:sz w:val="32"/>
          <w:szCs w:val="32"/>
          <w:highlight w:val="none"/>
          <w:lang w:val="en-US" w:eastAsia="zh-CN"/>
        </w:rPr>
        <w:t>0.05万元</w:t>
      </w:r>
      <w:r>
        <w:rPr>
          <w:rFonts w:hint="eastAsia" w:ascii="Times New Roman" w:hAnsi="Times New Roman" w:eastAsia="仿宋_GB2312" w:cs="仿宋"/>
          <w:sz w:val="32"/>
          <w:szCs w:val="32"/>
          <w:highlight w:val="none"/>
        </w:rPr>
        <w:t>、邮电费</w:t>
      </w:r>
      <w:r>
        <w:rPr>
          <w:rFonts w:hint="eastAsia" w:eastAsia="仿宋_GB2312" w:cs="仿宋"/>
          <w:sz w:val="32"/>
          <w:szCs w:val="32"/>
          <w:highlight w:val="none"/>
          <w:lang w:val="en-US" w:eastAsia="zh-CN"/>
        </w:rPr>
        <w:t>4.30万元</w:t>
      </w:r>
      <w:r>
        <w:rPr>
          <w:rFonts w:hint="eastAsia" w:ascii="Times New Roman" w:hAnsi="Times New Roman" w:eastAsia="仿宋_GB2312" w:cs="仿宋"/>
          <w:sz w:val="32"/>
          <w:szCs w:val="32"/>
          <w:highlight w:val="none"/>
        </w:rPr>
        <w:t>、差旅费</w:t>
      </w:r>
      <w:r>
        <w:rPr>
          <w:rFonts w:hint="eastAsia" w:eastAsia="仿宋_GB2312" w:cs="仿宋"/>
          <w:sz w:val="32"/>
          <w:szCs w:val="32"/>
          <w:highlight w:val="none"/>
          <w:lang w:val="en-US" w:eastAsia="zh-CN"/>
        </w:rPr>
        <w:t>1.40万元</w:t>
      </w:r>
      <w:r>
        <w:rPr>
          <w:rFonts w:hint="eastAsia" w:ascii="Times New Roman" w:hAnsi="Times New Roman" w:eastAsia="仿宋_GB2312" w:cs="仿宋"/>
          <w:sz w:val="32"/>
          <w:szCs w:val="32"/>
          <w:highlight w:val="none"/>
        </w:rPr>
        <w:t>、</w:t>
      </w:r>
      <w:r>
        <w:rPr>
          <w:rFonts w:hint="eastAsia" w:eastAsia="仿宋_GB2312" w:cs="仿宋"/>
          <w:sz w:val="32"/>
          <w:szCs w:val="32"/>
          <w:highlight w:val="none"/>
          <w:lang w:val="en-US" w:eastAsia="zh-CN"/>
        </w:rPr>
        <w:t>劳务费3.05万元、</w:t>
      </w:r>
      <w:r>
        <w:rPr>
          <w:rFonts w:hint="eastAsia" w:ascii="Times New Roman" w:hAnsi="Times New Roman" w:eastAsia="仿宋_GB2312" w:cs="仿宋"/>
          <w:sz w:val="32"/>
          <w:szCs w:val="32"/>
          <w:highlight w:val="none"/>
        </w:rPr>
        <w:t>公务用车运行维护费</w:t>
      </w:r>
      <w:r>
        <w:rPr>
          <w:rFonts w:hint="eastAsia" w:eastAsia="仿宋_GB2312" w:cs="仿宋"/>
          <w:sz w:val="32"/>
          <w:szCs w:val="32"/>
          <w:highlight w:val="none"/>
          <w:lang w:val="en-US" w:eastAsia="zh-CN"/>
        </w:rPr>
        <w:t>0.65万元</w:t>
      </w:r>
      <w:r>
        <w:rPr>
          <w:rFonts w:hint="eastAsia" w:ascii="Times New Roman" w:hAnsi="Times New Roman" w:eastAsia="仿宋_GB2312" w:cs="仿宋"/>
          <w:sz w:val="32"/>
          <w:szCs w:val="32"/>
          <w:highlight w:val="none"/>
        </w:rPr>
        <w:t>、其他交通费用</w:t>
      </w:r>
      <w:r>
        <w:rPr>
          <w:rFonts w:hint="eastAsia" w:eastAsia="仿宋_GB2312" w:cs="仿宋"/>
          <w:sz w:val="32"/>
          <w:szCs w:val="32"/>
          <w:highlight w:val="none"/>
          <w:lang w:val="en-US" w:eastAsia="zh-CN"/>
        </w:rPr>
        <w:t>9.54万元、其他商品和服务支出1.30万元、办公设备购置5.59万元</w:t>
      </w:r>
      <w:r>
        <w:rPr>
          <w:rFonts w:hint="eastAsia" w:ascii="Times New Roman" w:hAnsi="Times New Roman" w:eastAsia="仿宋_GB2312" w:cs="仿宋"/>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七、一般公共预算“三公”经费支出预算情况说明</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年度一般公共预算拨款安排的“三公”经费预算支出</w:t>
      </w:r>
      <w:r>
        <w:rPr>
          <w:rFonts w:hint="eastAsia" w:eastAsia="仿宋_GB2312"/>
          <w:sz w:val="32"/>
          <w:szCs w:val="32"/>
          <w:highlight w:val="none"/>
          <w:u w:val="single"/>
          <w:lang w:val="en-US" w:eastAsia="zh-CN"/>
        </w:rPr>
        <w:t>0.65</w:t>
      </w:r>
      <w:r>
        <w:rPr>
          <w:rFonts w:eastAsia="仿宋_GB2312"/>
          <w:sz w:val="32"/>
          <w:szCs w:val="32"/>
          <w:highlight w:val="none"/>
        </w:rPr>
        <w:t>万元，其中因公出国（境）费支出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；公务用车购置及运行维护费支出</w:t>
      </w:r>
      <w:r>
        <w:rPr>
          <w:rFonts w:hint="eastAsia" w:eastAsia="仿宋_GB2312"/>
          <w:sz w:val="32"/>
          <w:szCs w:val="32"/>
          <w:highlight w:val="none"/>
          <w:u w:val="single"/>
          <w:lang w:val="en-US" w:eastAsia="zh-CN"/>
        </w:rPr>
        <w:t>0.65</w:t>
      </w:r>
      <w:r>
        <w:rPr>
          <w:rFonts w:eastAsia="仿宋_GB2312"/>
          <w:sz w:val="32"/>
          <w:szCs w:val="32"/>
          <w:highlight w:val="none"/>
        </w:rPr>
        <w:t>万元，占</w:t>
      </w:r>
      <w:r>
        <w:rPr>
          <w:rFonts w:hint="eastAsia" w:eastAsia="仿宋_GB2312"/>
          <w:sz w:val="32"/>
          <w:szCs w:val="32"/>
          <w:highlight w:val="none"/>
          <w:u w:val="single"/>
          <w:lang w:val="en-US" w:eastAsia="zh-CN"/>
        </w:rPr>
        <w:t>100</w:t>
      </w:r>
      <w:r>
        <w:rPr>
          <w:rFonts w:hint="eastAsia" w:ascii="仿宋_GB2312" w:hAnsi="仿宋_GB2312" w:eastAsia="仿宋_GB2312"/>
          <w:sz w:val="32"/>
          <w:szCs w:val="32"/>
          <w:highlight w:val="none"/>
          <w:lang w:eastAsia="zh-CN"/>
        </w:rPr>
        <w:t>%</w:t>
      </w:r>
      <w:r>
        <w:rPr>
          <w:rFonts w:eastAsia="仿宋_GB2312"/>
          <w:sz w:val="32"/>
          <w:szCs w:val="32"/>
          <w:highlight w:val="none"/>
        </w:rPr>
        <w:t>；公务接待费支出</w:t>
      </w:r>
      <w:r>
        <w:rPr>
          <w:rFonts w:hint="eastAsia" w:eastAsia="仿宋_GB2312"/>
          <w:sz w:val="32"/>
          <w:szCs w:val="32"/>
          <w:highlight w:val="none"/>
          <w:u w:val="single"/>
          <w:lang w:val="en-US" w:eastAsia="zh-CN"/>
        </w:rPr>
        <w:t>0</w:t>
      </w:r>
      <w:r>
        <w:rPr>
          <w:rFonts w:eastAsia="仿宋_GB2312"/>
          <w:sz w:val="32"/>
          <w:szCs w:val="32"/>
          <w:highlight w:val="none"/>
        </w:rPr>
        <w:t>万元，占</w:t>
      </w:r>
      <w:r>
        <w:rPr>
          <w:rFonts w:hint="eastAsia" w:eastAsia="仿宋_GB2312"/>
          <w:sz w:val="32"/>
          <w:szCs w:val="32"/>
          <w:highlight w:val="none"/>
          <w:u w:val="single"/>
          <w:lang w:val="en-US" w:eastAsia="zh-CN"/>
        </w:rPr>
        <w:t>0</w:t>
      </w:r>
      <w:r>
        <w:rPr>
          <w:rFonts w:hint="eastAsia" w:ascii="仿宋_GB2312" w:hAnsi="仿宋_GB2312" w:eastAsia="仿宋_GB2312"/>
          <w:sz w:val="32"/>
          <w:szCs w:val="32"/>
          <w:highlight w:val="none"/>
          <w:lang w:eastAsia="zh-CN"/>
        </w:rPr>
        <w:t>%</w:t>
      </w:r>
      <w:r>
        <w:rPr>
          <w:rFonts w:eastAsia="仿宋_GB2312"/>
          <w:sz w:val="32"/>
          <w:szCs w:val="32"/>
          <w:highlight w:val="none"/>
        </w:rPr>
        <w:t>。具体情况如下：</w:t>
      </w:r>
    </w:p>
    <w:p>
      <w:pPr>
        <w:spacing w:line="600" w:lineRule="exact"/>
        <w:ind w:left="29" w:right="96" w:firstLine="650"/>
        <w:rPr>
          <w:rFonts w:eastAsia="仿宋_GB2312"/>
          <w:sz w:val="32"/>
          <w:szCs w:val="32"/>
          <w:highlight w:val="none"/>
        </w:rPr>
      </w:pPr>
      <w:r>
        <w:rPr>
          <w:rFonts w:eastAsia="仿宋_GB2312"/>
          <w:sz w:val="32"/>
          <w:szCs w:val="32"/>
          <w:highlight w:val="none"/>
        </w:rPr>
        <w:t>一般公共预算拨款安排的“三公”经费预算支出</w:t>
      </w:r>
      <w:r>
        <w:rPr>
          <w:rFonts w:hint="eastAsia" w:eastAsia="仿宋_GB2312"/>
          <w:sz w:val="32"/>
          <w:szCs w:val="32"/>
          <w:highlight w:val="none"/>
          <w:u w:val="single"/>
          <w:lang w:val="en-US" w:eastAsia="zh-CN"/>
        </w:rPr>
        <w:t>0.65</w:t>
      </w:r>
      <w:r>
        <w:rPr>
          <w:rFonts w:eastAsia="仿宋_GB2312"/>
          <w:spacing w:val="-4"/>
          <w:sz w:val="32"/>
          <w:szCs w:val="32"/>
          <w:highlight w:val="none"/>
        </w:rPr>
        <w:t>万元，比上年预</w:t>
      </w:r>
      <w:r>
        <w:rPr>
          <w:rFonts w:eastAsia="仿宋_GB2312"/>
          <w:spacing w:val="-6"/>
          <w:sz w:val="32"/>
          <w:szCs w:val="32"/>
          <w:highlight w:val="none"/>
        </w:rPr>
        <w:t>算</w:t>
      </w:r>
      <w:r>
        <w:rPr>
          <w:rFonts w:hint="eastAsia" w:eastAsia="仿宋_GB2312"/>
          <w:spacing w:val="-6"/>
          <w:sz w:val="32"/>
          <w:szCs w:val="32"/>
          <w:highlight w:val="none"/>
          <w:lang w:val="en-US" w:eastAsia="zh-CN"/>
        </w:rPr>
        <w:t>增加</w:t>
      </w:r>
      <w:r>
        <w:rPr>
          <w:rFonts w:hint="eastAsia" w:eastAsia="仿宋_GB2312"/>
          <w:sz w:val="32"/>
          <w:szCs w:val="32"/>
          <w:highlight w:val="none"/>
          <w:u w:val="single"/>
          <w:lang w:val="en-US" w:eastAsia="zh-CN"/>
        </w:rPr>
        <w:t>0.01</w:t>
      </w:r>
      <w:r>
        <w:rPr>
          <w:rFonts w:eastAsia="仿宋_GB2312"/>
          <w:spacing w:val="-6"/>
          <w:sz w:val="32"/>
          <w:szCs w:val="32"/>
          <w:highlight w:val="none"/>
        </w:rPr>
        <w:t>万元，</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1.56</w:t>
      </w:r>
      <w:r>
        <w:rPr>
          <w:rFonts w:hint="eastAsia" w:ascii="仿宋_GB2312" w:hAnsi="仿宋_GB2312" w:eastAsia="仿宋_GB2312"/>
          <w:sz w:val="32"/>
          <w:szCs w:val="32"/>
          <w:highlight w:val="none"/>
          <w:lang w:eastAsia="zh-CN"/>
        </w:rPr>
        <w:t>%</w:t>
      </w:r>
      <w:r>
        <w:rPr>
          <w:rFonts w:eastAsia="仿宋_GB2312"/>
          <w:spacing w:val="-6"/>
          <w:sz w:val="32"/>
          <w:szCs w:val="32"/>
          <w:highlight w:val="none"/>
        </w:rPr>
        <w:t>；</w:t>
      </w:r>
      <w:r>
        <w:rPr>
          <w:rFonts w:eastAsia="仿宋_GB2312"/>
          <w:spacing w:val="-4"/>
          <w:sz w:val="32"/>
          <w:szCs w:val="32"/>
          <w:highlight w:val="none"/>
        </w:rPr>
        <w:t>其中：</w:t>
      </w:r>
    </w:p>
    <w:p>
      <w:pPr>
        <w:pStyle w:val="10"/>
        <w:spacing w:after="0" w:line="600" w:lineRule="exact"/>
        <w:ind w:left="17" w:leftChars="8" w:firstLine="640" w:firstLineChars="200"/>
        <w:rPr>
          <w:rFonts w:eastAsia="仿宋_GB2312"/>
          <w:sz w:val="32"/>
          <w:szCs w:val="32"/>
          <w:highlight w:val="none"/>
        </w:rPr>
      </w:pPr>
      <w:r>
        <w:rPr>
          <w:rFonts w:eastAsia="仿宋_GB2312"/>
          <w:sz w:val="32"/>
          <w:szCs w:val="32"/>
          <w:highlight w:val="none"/>
        </w:rPr>
        <w:t>1．因公出国（境）费预算支出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万元，比上年预算增加</w:t>
      </w:r>
      <w:r>
        <w:rPr>
          <w:rFonts w:hint="eastAsia" w:eastAsia="仿宋_GB2312"/>
          <w:sz w:val="32"/>
          <w:szCs w:val="32"/>
          <w:highlight w:val="none"/>
          <w:u w:val="single"/>
          <w:lang w:val="en-US" w:eastAsia="zh-CN"/>
        </w:rPr>
        <w:t>0</w:t>
      </w:r>
      <w:r>
        <w:rPr>
          <w:rFonts w:eastAsia="仿宋_GB2312"/>
          <w:sz w:val="32"/>
          <w:szCs w:val="32"/>
          <w:highlight w:val="none"/>
        </w:rPr>
        <w:t>万元，主要原因</w:t>
      </w:r>
      <w:r>
        <w:rPr>
          <w:rFonts w:hint="eastAsia" w:eastAsia="仿宋_GB2312"/>
          <w:sz w:val="32"/>
          <w:szCs w:val="32"/>
          <w:highlight w:val="none"/>
          <w:lang w:val="en-US" w:eastAsia="zh-CN"/>
        </w:rPr>
        <w:t>是</w:t>
      </w:r>
      <w:r>
        <w:rPr>
          <w:rFonts w:hint="eastAsia" w:ascii="仿宋_GB2312" w:hAnsi="仿宋_GB2312" w:eastAsia="仿宋_GB2312"/>
          <w:sz w:val="32"/>
          <w:szCs w:val="32"/>
          <w:highlight w:val="none"/>
          <w:lang w:val="en-US" w:eastAsia="zh-CN"/>
        </w:rPr>
        <w:t>本部门不存在此项内容</w:t>
      </w:r>
      <w:r>
        <w:rPr>
          <w:rFonts w:eastAsia="仿宋_GB2312"/>
          <w:sz w:val="32"/>
          <w:szCs w:val="32"/>
          <w:highlight w:val="none"/>
        </w:rPr>
        <w:t>。</w:t>
      </w:r>
    </w:p>
    <w:p>
      <w:pPr>
        <w:pStyle w:val="10"/>
        <w:tabs>
          <w:tab w:val="left" w:pos="2671"/>
          <w:tab w:val="left" w:pos="5000"/>
          <w:tab w:val="left" w:pos="6190"/>
        </w:tabs>
        <w:spacing w:after="0" w:line="600" w:lineRule="exact"/>
        <w:ind w:firstLine="640" w:firstLineChars="200"/>
        <w:rPr>
          <w:rFonts w:eastAsia="仿宋_GB2312"/>
          <w:sz w:val="32"/>
          <w:szCs w:val="32"/>
          <w:highlight w:val="none"/>
        </w:rPr>
      </w:pPr>
      <w:r>
        <w:rPr>
          <w:rFonts w:eastAsia="仿宋_GB2312"/>
          <w:sz w:val="32"/>
          <w:szCs w:val="32"/>
          <w:highlight w:val="none"/>
        </w:rPr>
        <w:t>2．公务用车购置及运行维护费预算支出</w:t>
      </w:r>
      <w:r>
        <w:rPr>
          <w:rFonts w:hint="eastAsia" w:eastAsia="仿宋_GB2312"/>
          <w:sz w:val="32"/>
          <w:szCs w:val="32"/>
          <w:highlight w:val="none"/>
          <w:u w:val="single"/>
          <w:lang w:val="en-US" w:eastAsia="zh-CN"/>
        </w:rPr>
        <w:t>0.65</w:t>
      </w:r>
      <w:r>
        <w:rPr>
          <w:rFonts w:eastAsia="仿宋_GB2312"/>
          <w:sz w:val="32"/>
          <w:szCs w:val="32"/>
          <w:highlight w:val="none"/>
        </w:rPr>
        <w:t>万元。其中：</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（1）公务用车购置预算支出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万元，比上年预算增加</w:t>
      </w:r>
      <w:r>
        <w:rPr>
          <w:rFonts w:hint="eastAsia" w:eastAsia="仿宋_GB2312"/>
          <w:sz w:val="32"/>
          <w:szCs w:val="32"/>
          <w:highlight w:val="none"/>
          <w:u w:val="single"/>
          <w:lang w:val="en-US" w:eastAsia="zh-CN"/>
        </w:rPr>
        <w:t>0</w:t>
      </w:r>
      <w:r>
        <w:rPr>
          <w:rFonts w:eastAsia="仿宋_GB2312"/>
          <w:sz w:val="32"/>
          <w:szCs w:val="32"/>
          <w:highlight w:val="none"/>
        </w:rPr>
        <w:t>万元，主要原因</w:t>
      </w:r>
      <w:r>
        <w:rPr>
          <w:rFonts w:hint="eastAsia" w:eastAsia="仿宋_GB2312"/>
          <w:sz w:val="32"/>
          <w:szCs w:val="32"/>
          <w:highlight w:val="none"/>
          <w:lang w:val="en-US" w:eastAsia="zh-CN"/>
        </w:rPr>
        <w:t>是</w:t>
      </w:r>
      <w:r>
        <w:rPr>
          <w:rFonts w:hint="eastAsia" w:ascii="仿宋_GB2312" w:hAnsi="仿宋_GB2312" w:eastAsia="仿宋_GB2312"/>
          <w:sz w:val="32"/>
          <w:szCs w:val="32"/>
          <w:highlight w:val="none"/>
          <w:lang w:val="en-US" w:eastAsia="zh-CN"/>
        </w:rPr>
        <w:t>本部门不存在此项内容</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（2）公务用车运行维护费预算支出</w:t>
      </w:r>
      <w:r>
        <w:rPr>
          <w:rFonts w:hint="eastAsia" w:eastAsia="仿宋_GB2312"/>
          <w:sz w:val="32"/>
          <w:szCs w:val="32"/>
          <w:highlight w:val="none"/>
          <w:u w:val="single"/>
          <w:lang w:val="en-US" w:eastAsia="zh-CN"/>
        </w:rPr>
        <w:t>0.65</w:t>
      </w:r>
      <w:r>
        <w:rPr>
          <w:rFonts w:eastAsia="仿宋_GB2312"/>
          <w:sz w:val="32"/>
          <w:szCs w:val="32"/>
          <w:highlight w:val="none"/>
        </w:rPr>
        <w:t>万元，比上年预算</w:t>
      </w:r>
      <w:r>
        <w:rPr>
          <w:rFonts w:hint="eastAsia" w:eastAsia="仿宋_GB2312"/>
          <w:sz w:val="32"/>
          <w:szCs w:val="32"/>
          <w:highlight w:val="none"/>
          <w:lang w:val="en-US" w:eastAsia="zh-CN"/>
        </w:rPr>
        <w:t>增加</w:t>
      </w:r>
      <w:r>
        <w:rPr>
          <w:rFonts w:hint="eastAsia" w:eastAsia="仿宋_GB2312"/>
          <w:sz w:val="32"/>
          <w:szCs w:val="32"/>
          <w:highlight w:val="none"/>
          <w:u w:val="single"/>
          <w:lang w:val="en-US" w:eastAsia="zh-CN"/>
        </w:rPr>
        <w:t>0.01</w:t>
      </w:r>
      <w:r>
        <w:rPr>
          <w:rFonts w:eastAsia="仿宋_GB2312"/>
          <w:sz w:val="32"/>
          <w:szCs w:val="32"/>
          <w:highlight w:val="none"/>
        </w:rPr>
        <w:t xml:space="preserve"> 万元，主要原因</w:t>
      </w:r>
      <w:r>
        <w:rPr>
          <w:rFonts w:hint="eastAsia" w:eastAsia="仿宋_GB2312"/>
          <w:sz w:val="32"/>
          <w:szCs w:val="32"/>
          <w:highlight w:val="none"/>
          <w:lang w:val="en-US" w:eastAsia="zh-CN"/>
        </w:rPr>
        <w:t>是车辆保险费6500元，按实际产生费用申请预算</w:t>
      </w:r>
      <w:r>
        <w:rPr>
          <w:rFonts w:eastAsia="仿宋_GB2312"/>
          <w:sz w:val="32"/>
          <w:szCs w:val="32"/>
          <w:highlight w:val="none"/>
        </w:rPr>
        <w:t>。</w:t>
      </w:r>
    </w:p>
    <w:p>
      <w:pPr>
        <w:pStyle w:val="10"/>
        <w:spacing w:after="0" w:line="600" w:lineRule="exact"/>
        <w:ind w:firstLine="640" w:firstLineChars="200"/>
        <w:rPr>
          <w:rFonts w:eastAsia="仿宋_GB2312"/>
          <w:sz w:val="32"/>
          <w:szCs w:val="32"/>
          <w:highlight w:val="none"/>
        </w:rPr>
      </w:pPr>
      <w:r>
        <w:rPr>
          <w:rFonts w:eastAsia="仿宋_GB2312"/>
          <w:sz w:val="32"/>
          <w:szCs w:val="32"/>
          <w:highlight w:val="none"/>
        </w:rPr>
        <w:t>3．公务接待费预算支出</w:t>
      </w:r>
      <w:r>
        <w:rPr>
          <w:rFonts w:hint="eastAsia" w:eastAsia="仿宋_GB2312"/>
          <w:sz w:val="32"/>
          <w:szCs w:val="32"/>
          <w:highlight w:val="none"/>
          <w:u w:val="single"/>
          <w:lang w:val="en-US" w:eastAsia="zh-CN"/>
        </w:rPr>
        <w:t>0</w:t>
      </w:r>
      <w:r>
        <w:rPr>
          <w:rFonts w:eastAsia="仿宋_GB2312"/>
          <w:sz w:val="32"/>
          <w:szCs w:val="32"/>
          <w:highlight w:val="none"/>
        </w:rPr>
        <w:t>万元，比上年预算增加</w:t>
      </w:r>
      <w:r>
        <w:rPr>
          <w:rFonts w:eastAsia="仿宋_GB2312"/>
          <w:sz w:val="32"/>
          <w:szCs w:val="32"/>
          <w:highlight w:val="none"/>
          <w:u w:val="single"/>
        </w:rPr>
        <w:tab/>
      </w:r>
      <w:r>
        <w:rPr>
          <w:rFonts w:hint="eastAsia" w:eastAsia="仿宋_GB2312"/>
          <w:sz w:val="32"/>
          <w:szCs w:val="32"/>
          <w:highlight w:val="none"/>
          <w:u w:val="single"/>
          <w:lang w:val="en-US" w:eastAsia="zh-CN"/>
        </w:rPr>
        <w:t>0</w:t>
      </w:r>
      <w:r>
        <w:rPr>
          <w:rFonts w:eastAsia="仿宋_GB2312"/>
          <w:sz w:val="32"/>
          <w:szCs w:val="32"/>
          <w:highlight w:val="none"/>
        </w:rPr>
        <w:t>万元，主要原因</w:t>
      </w:r>
      <w:r>
        <w:rPr>
          <w:rFonts w:hint="eastAsia" w:eastAsia="仿宋_GB2312"/>
          <w:sz w:val="32"/>
          <w:szCs w:val="32"/>
          <w:highlight w:val="none"/>
          <w:lang w:val="en-US" w:eastAsia="zh-CN"/>
        </w:rPr>
        <w:t>是</w:t>
      </w:r>
      <w:r>
        <w:rPr>
          <w:rFonts w:hint="eastAsia" w:ascii="仿宋_GB2312" w:hAnsi="仿宋_GB2312" w:eastAsia="仿宋_GB2312"/>
          <w:sz w:val="32"/>
          <w:szCs w:val="32"/>
          <w:highlight w:val="none"/>
          <w:lang w:val="en-US" w:eastAsia="zh-CN"/>
        </w:rPr>
        <w:t>本部门不存在此项内容</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八、政府性基金预算支出预算情况说明</w:t>
      </w:r>
    </w:p>
    <w:p>
      <w:pPr>
        <w:pStyle w:val="10"/>
        <w:spacing w:after="0" w:line="600" w:lineRule="exact"/>
        <w:ind w:left="17" w:leftChars="8"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年度政府性基金支出预算支出</w:t>
      </w:r>
      <w:r>
        <w:rPr>
          <w:rFonts w:hint="eastAsia" w:eastAsia="仿宋_GB2312"/>
          <w:sz w:val="32"/>
          <w:szCs w:val="32"/>
          <w:highlight w:val="none"/>
          <w:u w:val="single"/>
          <w:lang w:val="en-US" w:eastAsia="zh-CN"/>
        </w:rPr>
        <w:t>0</w:t>
      </w:r>
      <w:r>
        <w:rPr>
          <w:rFonts w:eastAsia="仿宋_GB2312"/>
          <w:sz w:val="32"/>
          <w:szCs w:val="32"/>
          <w:highlight w:val="none"/>
          <w:u w:val="single"/>
        </w:rPr>
        <w:t xml:space="preserve"> </w:t>
      </w:r>
      <w:r>
        <w:rPr>
          <w:rFonts w:eastAsia="仿宋_GB2312"/>
          <w:sz w:val="32"/>
          <w:szCs w:val="32"/>
          <w:highlight w:val="none"/>
        </w:rPr>
        <w:t>万元。与上年相比增加</w:t>
      </w:r>
      <w:r>
        <w:rPr>
          <w:rFonts w:hint="eastAsia" w:eastAsia="仿宋_GB2312"/>
          <w:sz w:val="32"/>
          <w:szCs w:val="32"/>
          <w:highlight w:val="none"/>
          <w:u w:val="single"/>
          <w:lang w:val="en-US" w:eastAsia="zh-CN"/>
        </w:rPr>
        <w:t>0</w:t>
      </w:r>
      <w:r>
        <w:rPr>
          <w:rFonts w:eastAsia="仿宋_GB2312"/>
          <w:sz w:val="32"/>
          <w:szCs w:val="32"/>
          <w:highlight w:val="none"/>
        </w:rPr>
        <w:t>万元，增长</w:t>
      </w:r>
      <w:r>
        <w:rPr>
          <w:rFonts w:hint="eastAsia" w:eastAsia="仿宋_GB2312"/>
          <w:sz w:val="32"/>
          <w:szCs w:val="32"/>
          <w:highlight w:val="none"/>
          <w:u w:val="single"/>
          <w:lang w:val="en-US" w:eastAsia="zh-CN"/>
        </w:rPr>
        <w:t>0</w:t>
      </w:r>
      <w:r>
        <w:rPr>
          <w:rFonts w:eastAsia="仿宋_GB2312"/>
          <w:sz w:val="32"/>
          <w:szCs w:val="32"/>
          <w:highlight w:val="none"/>
        </w:rPr>
        <w:tab/>
      </w:r>
      <w:r>
        <w:rPr>
          <w:rFonts w:hint="eastAsia" w:ascii="仿宋_GB2312" w:hAnsi="仿宋_GB2312" w:eastAsia="仿宋_GB2312"/>
          <w:sz w:val="32"/>
          <w:szCs w:val="32"/>
          <w:highlight w:val="none"/>
          <w:lang w:eastAsia="zh-CN"/>
        </w:rPr>
        <w:t>%</w:t>
      </w:r>
      <w:r>
        <w:rPr>
          <w:rFonts w:eastAsia="仿宋_GB2312"/>
          <w:sz w:val="32"/>
          <w:szCs w:val="32"/>
          <w:highlight w:val="none"/>
        </w:rPr>
        <w:t>。主要原因</w:t>
      </w:r>
      <w:r>
        <w:rPr>
          <w:rFonts w:hint="eastAsia" w:eastAsia="仿宋_GB2312"/>
          <w:sz w:val="32"/>
          <w:szCs w:val="32"/>
          <w:highlight w:val="none"/>
          <w:lang w:val="en-US" w:eastAsia="zh-CN"/>
        </w:rPr>
        <w:t>是</w:t>
      </w:r>
      <w:r>
        <w:rPr>
          <w:rFonts w:hint="eastAsia" w:ascii="Times New Roman" w:hAnsi="Times New Roman" w:eastAsia="仿宋_GB2312" w:cs="仿宋"/>
          <w:sz w:val="32"/>
          <w:szCs w:val="32"/>
          <w:highlight w:val="none"/>
        </w:rPr>
        <w:t>本年无政府性基金预算支出</w:t>
      </w:r>
      <w:r>
        <w:rPr>
          <w:rFonts w:eastAsia="仿宋_GB2312"/>
          <w:sz w:val="32"/>
          <w:szCs w:val="32"/>
          <w:highlight w:val="none"/>
        </w:rPr>
        <w:t>。</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九、国有资本经营预算支出预算情况说明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w:t>
      </w:r>
      <w:r>
        <w:rPr>
          <w:rFonts w:hint="eastAsia" w:eastAsia="仿宋_GB2312" w:cstheme="minorBidi"/>
          <w:sz w:val="32"/>
          <w:szCs w:val="32"/>
          <w:highlight w:val="none"/>
        </w:rPr>
        <w:t>国有资本经营预算支出</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rPr>
        <w:t>万元。与上年相比增加</w:t>
      </w:r>
      <w:r>
        <w:rPr>
          <w:rFonts w:hint="eastAsia" w:eastAsia="仿宋_GB2312" w:cstheme="minorBidi"/>
          <w:sz w:val="32"/>
          <w:szCs w:val="32"/>
          <w:highlight w:val="none"/>
          <w:u w:val="single"/>
          <w:lang w:val="en-US" w:eastAsia="zh-CN"/>
        </w:rPr>
        <w:t>0</w:t>
      </w:r>
      <w:r>
        <w:rPr>
          <w:rFonts w:hint="eastAsia" w:eastAsia="仿宋_GB2312" w:cstheme="minorBidi"/>
          <w:sz w:val="32"/>
          <w:szCs w:val="32"/>
          <w:highlight w:val="none"/>
        </w:rPr>
        <w:t>万元，增长</w:t>
      </w:r>
      <w:r>
        <w:rPr>
          <w:rFonts w:hint="eastAsia" w:eastAsia="仿宋_GB2312" w:cstheme="minorBidi"/>
          <w:sz w:val="32"/>
          <w:szCs w:val="32"/>
          <w:highlight w:val="none"/>
          <w:u w:val="single"/>
          <w:lang w:val="en-US" w:eastAsia="zh-CN"/>
        </w:rPr>
        <w:t>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。主要原因</w:t>
      </w:r>
      <w:r>
        <w:rPr>
          <w:rFonts w:hint="eastAsia" w:eastAsia="仿宋_GB2312" w:cstheme="minorBidi"/>
          <w:sz w:val="32"/>
          <w:szCs w:val="32"/>
          <w:highlight w:val="none"/>
          <w:lang w:eastAsia="zh-CN"/>
        </w:rPr>
        <w:t>：</w:t>
      </w:r>
      <w:r>
        <w:rPr>
          <w:rFonts w:hint="eastAsia" w:eastAsia="仿宋_GB2312" w:cstheme="minorBidi"/>
          <w:sz w:val="32"/>
          <w:szCs w:val="32"/>
          <w:highlight w:val="none"/>
        </w:rPr>
        <w:t>本年无国有资本经营预算支出。</w:t>
      </w:r>
    </w:p>
    <w:p>
      <w:pPr>
        <w:spacing w:line="600" w:lineRule="exact"/>
        <w:ind w:left="0" w:leftChars="0" w:firstLine="640" w:firstLineChars="200"/>
        <w:outlineLvl w:val="2"/>
        <w:rPr>
          <w:rFonts w:eastAsia="仿宋_GB2312" w:cstheme="minorBidi"/>
          <w:sz w:val="32"/>
          <w:szCs w:val="32"/>
          <w:highlight w:val="none"/>
        </w:rPr>
      </w:pPr>
      <w:r>
        <w:rPr>
          <w:rFonts w:hint="eastAsia" w:eastAsia="黑体" w:cs="黑体"/>
          <w:sz w:val="32"/>
          <w:szCs w:val="36"/>
          <w:highlight w:val="none"/>
        </w:rPr>
        <w:t>十、项目支出预算情况说明</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年度预算安排项目</w:t>
      </w:r>
      <w:r>
        <w:rPr>
          <w:rFonts w:hint="eastAsia" w:eastAsia="仿宋_GB2312"/>
          <w:sz w:val="32"/>
          <w:szCs w:val="32"/>
          <w:highlight w:val="none"/>
          <w:u w:val="single"/>
          <w:lang w:val="en-US" w:eastAsia="zh-CN"/>
        </w:rPr>
        <w:t>13</w:t>
      </w:r>
      <w:r>
        <w:rPr>
          <w:rFonts w:eastAsia="仿宋_GB2312"/>
          <w:sz w:val="32"/>
          <w:szCs w:val="32"/>
          <w:highlight w:val="none"/>
        </w:rPr>
        <w:t>个，项目预算总金额</w:t>
      </w:r>
      <w:r>
        <w:rPr>
          <w:rFonts w:hint="eastAsia" w:eastAsia="仿宋_GB2312"/>
          <w:sz w:val="32"/>
          <w:szCs w:val="32"/>
          <w:highlight w:val="none"/>
          <w:u w:val="single"/>
          <w:lang w:val="en-US" w:eastAsia="zh-CN"/>
        </w:rPr>
        <w:t>508.8</w:t>
      </w:r>
      <w:r>
        <w:rPr>
          <w:rFonts w:eastAsia="仿宋_GB2312"/>
          <w:sz w:val="32"/>
          <w:szCs w:val="32"/>
          <w:highlight w:val="none"/>
        </w:rPr>
        <w:t>万元。其中，财政本年拨款金额</w:t>
      </w:r>
      <w:r>
        <w:rPr>
          <w:rFonts w:hint="eastAsia" w:eastAsia="仿宋_GB2312"/>
          <w:sz w:val="32"/>
          <w:szCs w:val="32"/>
          <w:highlight w:val="none"/>
          <w:u w:val="single"/>
          <w:lang w:val="en-US" w:eastAsia="zh-CN"/>
        </w:rPr>
        <w:t>508.8</w:t>
      </w:r>
      <w:r>
        <w:rPr>
          <w:rFonts w:eastAsia="仿宋_GB2312"/>
          <w:sz w:val="32"/>
          <w:szCs w:val="32"/>
          <w:highlight w:val="none"/>
        </w:rPr>
        <w:t>万元，财政拨款结转结余</w:t>
      </w:r>
      <w:r>
        <w:rPr>
          <w:rFonts w:hint="eastAsia" w:eastAsia="仿宋_GB2312"/>
          <w:sz w:val="32"/>
          <w:szCs w:val="32"/>
          <w:highlight w:val="none"/>
          <w:u w:val="single"/>
          <w:lang w:val="en-US" w:eastAsia="zh-CN"/>
        </w:rPr>
        <w:t>0</w:t>
      </w:r>
      <w:r>
        <w:rPr>
          <w:rFonts w:eastAsia="仿宋_GB2312"/>
          <w:sz w:val="32"/>
          <w:szCs w:val="32"/>
          <w:highlight w:val="none"/>
        </w:rPr>
        <w:t>万元，财政专户管理资金</w:t>
      </w:r>
      <w:r>
        <w:rPr>
          <w:rFonts w:hint="eastAsia" w:eastAsia="仿宋_GB2312"/>
          <w:sz w:val="32"/>
          <w:szCs w:val="32"/>
          <w:highlight w:val="none"/>
          <w:u w:val="single"/>
          <w:lang w:val="en-US" w:eastAsia="zh-CN"/>
        </w:rPr>
        <w:t>0</w:t>
      </w:r>
      <w:r>
        <w:rPr>
          <w:rFonts w:eastAsia="仿宋_GB2312"/>
          <w:sz w:val="32"/>
          <w:szCs w:val="32"/>
          <w:highlight w:val="none"/>
        </w:rPr>
        <w:t>万元，单位资金</w:t>
      </w:r>
      <w:r>
        <w:rPr>
          <w:rFonts w:hint="eastAsia" w:eastAsia="仿宋_GB2312"/>
          <w:sz w:val="32"/>
          <w:szCs w:val="32"/>
          <w:highlight w:val="none"/>
          <w:u w:val="single"/>
          <w:lang w:val="en-US" w:eastAsia="zh-CN"/>
        </w:rPr>
        <w:t>0</w:t>
      </w:r>
      <w:r>
        <w:rPr>
          <w:rFonts w:eastAsia="仿宋_GB2312"/>
          <w:sz w:val="32"/>
          <w:szCs w:val="32"/>
          <w:highlight w:val="none"/>
        </w:rPr>
        <w:t>万元。</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十一、</w:t>
      </w:r>
      <w:r>
        <w:rPr>
          <w:rFonts w:hint="eastAsia" w:eastAsia="黑体" w:cs="黑体"/>
          <w:sz w:val="32"/>
          <w:szCs w:val="36"/>
          <w:highlight w:val="none"/>
          <w:lang w:val="en-US" w:eastAsia="zh-CN"/>
        </w:rPr>
        <w:t>机构</w:t>
      </w:r>
      <w:r>
        <w:rPr>
          <w:rFonts w:hint="eastAsia" w:eastAsia="黑体" w:cs="黑体"/>
          <w:sz w:val="32"/>
          <w:szCs w:val="36"/>
          <w:highlight w:val="none"/>
        </w:rPr>
        <w:t>运行经费支出预算情况说明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w:t>
      </w:r>
      <w:r>
        <w:rPr>
          <w:rFonts w:hint="eastAsia" w:eastAsia="仿宋_GB2312"/>
          <w:sz w:val="32"/>
          <w:szCs w:val="32"/>
          <w:highlight w:val="none"/>
          <w:lang w:val="en-US" w:eastAsia="zh-CN"/>
        </w:rPr>
        <w:t>机构</w:t>
      </w:r>
      <w:r>
        <w:rPr>
          <w:rFonts w:eastAsia="仿宋_GB2312"/>
          <w:sz w:val="32"/>
          <w:szCs w:val="32"/>
          <w:highlight w:val="none"/>
        </w:rPr>
        <w:t>运行经费预算支出</w:t>
      </w:r>
      <w:r>
        <w:rPr>
          <w:rFonts w:hint="eastAsia" w:eastAsia="仿宋_GB2312"/>
          <w:sz w:val="32"/>
          <w:szCs w:val="32"/>
          <w:highlight w:val="none"/>
          <w:u w:val="single"/>
          <w:lang w:val="en-US" w:eastAsia="zh-CN"/>
        </w:rPr>
        <w:t>34.64</w:t>
      </w:r>
      <w:r>
        <w:rPr>
          <w:rFonts w:eastAsia="仿宋_GB2312"/>
          <w:sz w:val="32"/>
          <w:szCs w:val="32"/>
          <w:highlight w:val="none"/>
        </w:rPr>
        <w:t>万元</w:t>
      </w:r>
      <w:r>
        <w:rPr>
          <w:rFonts w:hint="eastAsia" w:eastAsia="仿宋_GB2312" w:cstheme="minorBidi"/>
          <w:sz w:val="32"/>
          <w:szCs w:val="32"/>
          <w:highlight w:val="none"/>
        </w:rPr>
        <w:t>，</w:t>
      </w:r>
      <w:r>
        <w:rPr>
          <w:rFonts w:eastAsia="仿宋_GB2312"/>
          <w:color w:val="000000" w:themeColor="text1"/>
          <w:sz w:val="32"/>
          <w:szCs w:val="32"/>
          <w:highlight w:val="none"/>
          <w14:textFill>
            <w14:solidFill>
              <w14:schemeClr w14:val="tx1"/>
            </w14:solidFill>
          </w14:textFill>
        </w:rPr>
        <w:t>与</w:t>
      </w:r>
      <w:r>
        <w:rPr>
          <w:rFonts w:eastAsia="仿宋_GB2312"/>
          <w:sz w:val="32"/>
          <w:szCs w:val="32"/>
          <w:highlight w:val="none"/>
        </w:rPr>
        <w:t>上年相比增加</w:t>
      </w:r>
      <w:r>
        <w:rPr>
          <w:rFonts w:hint="eastAsia" w:eastAsia="仿宋_GB2312"/>
          <w:sz w:val="32"/>
          <w:szCs w:val="32"/>
          <w:highlight w:val="none"/>
          <w:u w:val="single"/>
          <w:lang w:val="en-US" w:eastAsia="zh-CN"/>
        </w:rPr>
        <w:t>4.32</w:t>
      </w:r>
      <w:r>
        <w:rPr>
          <w:rFonts w:eastAsia="仿宋_GB2312"/>
          <w:sz w:val="32"/>
          <w:szCs w:val="32"/>
          <w:highlight w:val="none"/>
        </w:rPr>
        <w:t>万元，增长</w:t>
      </w:r>
      <w:r>
        <w:rPr>
          <w:rFonts w:hint="eastAsia" w:eastAsia="仿宋_GB2312"/>
          <w:sz w:val="32"/>
          <w:szCs w:val="32"/>
          <w:highlight w:val="none"/>
          <w:u w:val="single"/>
          <w:lang w:val="en-US" w:eastAsia="zh-CN"/>
        </w:rPr>
        <w:t>14.25</w:t>
      </w:r>
      <w:r>
        <w:rPr>
          <w:rFonts w:hint="eastAsia" w:ascii="仿宋_GB2312" w:hAnsi="仿宋_GB2312" w:eastAsia="仿宋_GB2312"/>
          <w:sz w:val="32"/>
          <w:szCs w:val="32"/>
          <w:highlight w:val="none"/>
          <w:lang w:eastAsia="zh-CN"/>
        </w:rPr>
        <w:t>%</w:t>
      </w:r>
      <w:r>
        <w:rPr>
          <w:rFonts w:eastAsia="仿宋_GB2312"/>
          <w:sz w:val="32"/>
          <w:szCs w:val="32"/>
          <w:highlight w:val="none"/>
        </w:rPr>
        <w:t>。主要原因是：</w:t>
      </w:r>
      <w:r>
        <w:rPr>
          <w:rFonts w:hint="eastAsia" w:ascii="仿宋_GB2312" w:hAnsi="仿宋_GB2312" w:eastAsia="仿宋_GB2312"/>
          <w:sz w:val="32"/>
          <w:szCs w:val="32"/>
          <w:highlight w:val="none"/>
          <w:lang w:val="en-US" w:eastAsia="zh-CN"/>
        </w:rPr>
        <w:t>部门人员增加导致公用经费增加</w:t>
      </w:r>
      <w:r>
        <w:rPr>
          <w:rFonts w:eastAsia="仿宋_GB2312"/>
          <w:sz w:val="32"/>
          <w:szCs w:val="32"/>
          <w:highlight w:val="none"/>
        </w:rPr>
        <w:t>。</w:t>
      </w:r>
    </w:p>
    <w:p>
      <w:pPr>
        <w:spacing w:line="600" w:lineRule="exact"/>
        <w:ind w:left="0" w:leftChars="0" w:firstLine="640" w:firstLineChars="200"/>
        <w:outlineLvl w:val="2"/>
        <w:rPr>
          <w:rFonts w:eastAsia="黑体" w:cs="黑体"/>
          <w:b/>
          <w:bCs/>
          <w:sz w:val="32"/>
          <w:szCs w:val="36"/>
          <w:highlight w:val="none"/>
        </w:rPr>
      </w:pPr>
      <w:r>
        <w:rPr>
          <w:rFonts w:hint="eastAsia" w:eastAsia="黑体" w:cs="黑体"/>
          <w:sz w:val="32"/>
          <w:szCs w:val="36"/>
          <w:highlight w:val="none"/>
        </w:rPr>
        <w:t>十二、政府采购支出预算情况说明</w:t>
      </w:r>
    </w:p>
    <w:p>
      <w:pPr>
        <w:spacing w:line="600" w:lineRule="exact"/>
        <w:ind w:firstLine="640" w:firstLineChars="200"/>
        <w:rPr>
          <w:rFonts w:eastAsia="仿宋_GB2312"/>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年度政府采购支出预算总额</w:t>
      </w:r>
      <w:r>
        <w:rPr>
          <w:rFonts w:hint="eastAsia" w:eastAsia="仿宋_GB2312"/>
          <w:sz w:val="32"/>
          <w:szCs w:val="32"/>
          <w:highlight w:val="none"/>
          <w:u w:val="single"/>
          <w:lang w:val="en-US" w:eastAsia="zh-CN"/>
        </w:rPr>
        <w:t>167.48</w:t>
      </w:r>
      <w:r>
        <w:rPr>
          <w:rFonts w:eastAsia="仿宋_GB2312"/>
          <w:sz w:val="32"/>
          <w:szCs w:val="32"/>
          <w:highlight w:val="none"/>
        </w:rPr>
        <w:t>万元，其中：拟采购货物支出</w:t>
      </w:r>
      <w:r>
        <w:rPr>
          <w:rFonts w:hint="eastAsia" w:eastAsia="仿宋_GB2312"/>
          <w:sz w:val="32"/>
          <w:szCs w:val="32"/>
          <w:highlight w:val="none"/>
          <w:u w:val="single"/>
          <w:lang w:val="en-US" w:eastAsia="zh-CN"/>
        </w:rPr>
        <w:t>78.83</w:t>
      </w:r>
      <w:r>
        <w:rPr>
          <w:rFonts w:eastAsia="仿宋_GB2312"/>
          <w:sz w:val="32"/>
          <w:szCs w:val="32"/>
          <w:highlight w:val="none"/>
        </w:rPr>
        <w:t>万元、拟采购工程支出</w:t>
      </w:r>
      <w:r>
        <w:rPr>
          <w:rFonts w:hint="eastAsia" w:eastAsia="仿宋_GB2312"/>
          <w:sz w:val="32"/>
          <w:szCs w:val="32"/>
          <w:highlight w:val="none"/>
          <w:u w:val="single"/>
          <w:lang w:val="en-US" w:eastAsia="zh-CN"/>
        </w:rPr>
        <w:t>0</w:t>
      </w:r>
      <w:r>
        <w:rPr>
          <w:rFonts w:eastAsia="仿宋_GB2312"/>
          <w:sz w:val="32"/>
          <w:szCs w:val="32"/>
          <w:highlight w:val="none"/>
        </w:rPr>
        <w:t>万元、拟购买服务支出</w:t>
      </w:r>
      <w:r>
        <w:rPr>
          <w:rFonts w:hint="eastAsia" w:eastAsia="仿宋_GB2312"/>
          <w:sz w:val="32"/>
          <w:szCs w:val="32"/>
          <w:highlight w:val="none"/>
          <w:u w:val="single"/>
          <w:lang w:val="en-US" w:eastAsia="zh-CN"/>
        </w:rPr>
        <w:t>88.65</w:t>
      </w:r>
      <w:r>
        <w:rPr>
          <w:rFonts w:eastAsia="仿宋_GB2312"/>
          <w:sz w:val="32"/>
          <w:szCs w:val="32"/>
          <w:highlight w:val="none"/>
        </w:rPr>
        <w:t>万元。</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十三、国有资产占用情况说明</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eastAsia="仿宋_GB2312"/>
          <w:sz w:val="32"/>
          <w:szCs w:val="32"/>
          <w:highlight w:val="none"/>
        </w:rPr>
        <w:t>共有车辆</w:t>
      </w:r>
      <w:r>
        <w:rPr>
          <w:rFonts w:hint="eastAsia" w:eastAsia="仿宋_GB2312"/>
          <w:sz w:val="32"/>
          <w:szCs w:val="32"/>
          <w:highlight w:val="none"/>
          <w:u w:val="single"/>
          <w:lang w:val="en-US" w:eastAsia="zh-CN"/>
        </w:rPr>
        <w:t>4</w:t>
      </w:r>
      <w:r>
        <w:rPr>
          <w:rFonts w:eastAsia="仿宋_GB2312"/>
          <w:sz w:val="32"/>
          <w:szCs w:val="32"/>
          <w:highlight w:val="none"/>
        </w:rPr>
        <w:t>辆，其中，一般公务用车</w:t>
      </w:r>
      <w:r>
        <w:rPr>
          <w:rFonts w:hint="eastAsia" w:eastAsia="仿宋_GB2312"/>
          <w:sz w:val="32"/>
          <w:szCs w:val="32"/>
          <w:highlight w:val="none"/>
          <w:u w:val="single"/>
          <w:lang w:val="en-US" w:eastAsia="zh-CN"/>
        </w:rPr>
        <w:t>1</w:t>
      </w:r>
      <w:r>
        <w:rPr>
          <w:rFonts w:eastAsia="仿宋_GB2312"/>
          <w:sz w:val="32"/>
          <w:szCs w:val="32"/>
          <w:highlight w:val="none"/>
        </w:rPr>
        <w:t>辆、执法执勤用车</w:t>
      </w:r>
      <w:r>
        <w:rPr>
          <w:rFonts w:hint="eastAsia" w:eastAsia="仿宋_GB2312"/>
          <w:sz w:val="32"/>
          <w:szCs w:val="32"/>
          <w:highlight w:val="none"/>
          <w:u w:val="single"/>
          <w:lang w:val="en-US" w:eastAsia="zh-CN"/>
        </w:rPr>
        <w:t>0</w:t>
      </w:r>
      <w:r>
        <w:rPr>
          <w:rFonts w:eastAsia="仿宋_GB2312"/>
          <w:sz w:val="32"/>
          <w:szCs w:val="32"/>
          <w:highlight w:val="none"/>
        </w:rPr>
        <w:t>辆、特种专业技术用车</w:t>
      </w:r>
      <w:r>
        <w:rPr>
          <w:rFonts w:hint="eastAsia" w:eastAsia="仿宋_GB2312"/>
          <w:sz w:val="32"/>
          <w:szCs w:val="32"/>
          <w:highlight w:val="none"/>
          <w:u w:val="single"/>
          <w:lang w:val="en-US" w:eastAsia="zh-CN"/>
        </w:rPr>
        <w:t>3</w:t>
      </w:r>
      <w:r>
        <w:rPr>
          <w:rFonts w:eastAsia="仿宋_GB2312"/>
          <w:sz w:val="32"/>
          <w:szCs w:val="32"/>
          <w:highlight w:val="none"/>
        </w:rPr>
        <w:t>辆、业务用车</w:t>
      </w:r>
      <w:r>
        <w:rPr>
          <w:rFonts w:hint="eastAsia" w:eastAsia="仿宋_GB2312"/>
          <w:sz w:val="32"/>
          <w:szCs w:val="32"/>
          <w:highlight w:val="none"/>
          <w:u w:val="single"/>
          <w:lang w:val="en-US" w:eastAsia="zh-CN"/>
        </w:rPr>
        <w:t>0</w:t>
      </w:r>
      <w:r>
        <w:rPr>
          <w:rFonts w:eastAsia="仿宋_GB2312"/>
          <w:sz w:val="32"/>
          <w:szCs w:val="32"/>
          <w:highlight w:val="none"/>
        </w:rPr>
        <w:t>辆、其他用车</w:t>
      </w:r>
      <w:r>
        <w:rPr>
          <w:rFonts w:hint="eastAsia" w:eastAsia="仿宋_GB2312"/>
          <w:sz w:val="32"/>
          <w:szCs w:val="32"/>
          <w:highlight w:val="none"/>
          <w:u w:val="single"/>
          <w:lang w:val="en-US" w:eastAsia="zh-CN"/>
        </w:rPr>
        <w:t>0</w:t>
      </w:r>
      <w:r>
        <w:rPr>
          <w:rFonts w:eastAsia="仿宋_GB2312"/>
          <w:sz w:val="32"/>
          <w:szCs w:val="32"/>
          <w:highlight w:val="none"/>
        </w:rPr>
        <w:t>辆等。单价50万元（含）以上的通用设备</w:t>
      </w:r>
      <w:r>
        <w:rPr>
          <w:rFonts w:hint="eastAsia" w:eastAsia="仿宋_GB2312"/>
          <w:sz w:val="32"/>
          <w:szCs w:val="32"/>
          <w:highlight w:val="none"/>
          <w:u w:val="single"/>
          <w:lang w:val="en-US" w:eastAsia="zh-CN"/>
        </w:rPr>
        <w:t>0</w:t>
      </w:r>
      <w:r>
        <w:rPr>
          <w:rFonts w:eastAsia="仿宋_GB2312"/>
          <w:sz w:val="32"/>
          <w:szCs w:val="32"/>
          <w:highlight w:val="none"/>
        </w:rPr>
        <w:t>台（套），</w:t>
      </w:r>
      <w:r>
        <w:rPr>
          <w:rFonts w:eastAsia="仿宋_GB2312"/>
          <w:color w:val="0000FF"/>
          <w:sz w:val="32"/>
          <w:szCs w:val="32"/>
          <w:highlight w:val="none"/>
          <w:u w:val="single"/>
        </w:rPr>
        <w:t>单价100万元（含）以上的专用设备</w:t>
      </w:r>
      <w:r>
        <w:rPr>
          <w:rFonts w:hint="eastAsia" w:eastAsia="仿宋_GB2312"/>
          <w:color w:val="0000FF"/>
          <w:sz w:val="32"/>
          <w:szCs w:val="32"/>
          <w:highlight w:val="none"/>
          <w:u w:val="single"/>
          <w:lang w:val="en-US" w:eastAsia="zh-CN"/>
        </w:rPr>
        <w:t>0</w:t>
      </w:r>
      <w:r>
        <w:rPr>
          <w:rFonts w:eastAsia="仿宋_GB2312"/>
          <w:color w:val="0000FF"/>
          <w:sz w:val="32"/>
          <w:szCs w:val="32"/>
          <w:highlight w:val="none"/>
          <w:u w:val="single"/>
        </w:rPr>
        <w:t>台（套）。</w:t>
      </w:r>
    </w:p>
    <w:p>
      <w:pPr>
        <w:spacing w:line="600" w:lineRule="exact"/>
        <w:ind w:left="0" w:leftChars="0" w:firstLine="640" w:firstLineChars="200"/>
        <w:outlineLvl w:val="2"/>
        <w:rPr>
          <w:rFonts w:eastAsia="黑体" w:cs="黑体"/>
          <w:sz w:val="32"/>
          <w:szCs w:val="36"/>
          <w:highlight w:val="none"/>
        </w:rPr>
      </w:pPr>
      <w:r>
        <w:rPr>
          <w:rFonts w:hint="eastAsia" w:eastAsia="黑体" w:cs="黑体"/>
          <w:sz w:val="32"/>
          <w:szCs w:val="36"/>
          <w:highlight w:val="none"/>
        </w:rPr>
        <w:t xml:space="preserve">十四、项目绩效目标情况说明 </w:t>
      </w:r>
    </w:p>
    <w:p>
      <w:pPr>
        <w:spacing w:line="600" w:lineRule="exact"/>
        <w:ind w:firstLine="640" w:firstLineChars="200"/>
        <w:rPr>
          <w:rFonts w:eastAsia="仿宋_GB2312" w:cstheme="minorBidi"/>
          <w:sz w:val="32"/>
          <w:szCs w:val="32"/>
          <w:highlight w:val="none"/>
        </w:rPr>
      </w:pPr>
      <w:r>
        <w:rPr>
          <w:rFonts w:hint="eastAsia" w:ascii="仿宋_GB2312" w:hAnsi="仿宋_GB2312" w:eastAsia="仿宋_GB2312" w:cs="仿宋"/>
          <w:sz w:val="32"/>
          <w:szCs w:val="32"/>
          <w:highlight w:val="none"/>
          <w:u w:val="single"/>
          <w:lang w:val="en-US" w:eastAsia="zh-CN"/>
        </w:rPr>
        <w:t>通辽市科学技术协会</w:t>
      </w:r>
      <w:r>
        <w:rPr>
          <w:rFonts w:hint="eastAsia" w:ascii="仿宋_GB2312" w:hAnsi="仿宋_GB2312" w:eastAsia="仿宋_GB2312" w:cs="仿宋"/>
          <w:sz w:val="32"/>
          <w:szCs w:val="32"/>
          <w:highlight w:val="none"/>
          <w:lang w:val="en-US" w:eastAsia="zh-CN"/>
        </w:rPr>
        <w:t>2024</w:t>
      </w:r>
      <w:r>
        <w:rPr>
          <w:rFonts w:eastAsia="仿宋_GB2312"/>
          <w:sz w:val="32"/>
          <w:szCs w:val="32"/>
          <w:highlight w:val="none"/>
        </w:rPr>
        <w:t>年度</w:t>
      </w:r>
      <w:r>
        <w:rPr>
          <w:rFonts w:hint="eastAsia" w:eastAsia="仿宋_GB2312" w:cstheme="minorBidi"/>
          <w:sz w:val="32"/>
          <w:szCs w:val="32"/>
          <w:highlight w:val="none"/>
        </w:rPr>
        <w:t>填报绩效目标的预算项目</w:t>
      </w:r>
      <w:r>
        <w:rPr>
          <w:rFonts w:hint="eastAsia" w:eastAsia="仿宋_GB2312" w:cstheme="minorBidi"/>
          <w:sz w:val="32"/>
          <w:szCs w:val="32"/>
          <w:highlight w:val="none"/>
          <w:u w:val="single"/>
          <w:lang w:val="en-US" w:eastAsia="zh-CN"/>
        </w:rPr>
        <w:t>13</w:t>
      </w:r>
      <w:r>
        <w:rPr>
          <w:rFonts w:hint="eastAsia" w:eastAsia="仿宋_GB2312" w:cstheme="minorBidi"/>
          <w:sz w:val="32"/>
          <w:szCs w:val="32"/>
          <w:highlight w:val="none"/>
        </w:rPr>
        <w:t>个，公开</w:t>
      </w:r>
      <w:r>
        <w:rPr>
          <w:rFonts w:hint="eastAsia" w:eastAsia="仿宋_GB2312" w:cstheme="minorBidi"/>
          <w:sz w:val="32"/>
          <w:szCs w:val="32"/>
          <w:highlight w:val="none"/>
          <w:lang w:val="en-US" w:eastAsia="zh-CN"/>
        </w:rPr>
        <w:t>项目</w:t>
      </w:r>
      <w:r>
        <w:rPr>
          <w:rFonts w:hint="eastAsia" w:eastAsia="仿宋_GB2312" w:cstheme="minorBidi"/>
          <w:sz w:val="32"/>
          <w:szCs w:val="32"/>
          <w:highlight w:val="none"/>
          <w:u w:val="single"/>
          <w:lang w:val="en-US" w:eastAsia="zh-CN"/>
        </w:rPr>
        <w:t>13</w:t>
      </w:r>
      <w:r>
        <w:rPr>
          <w:rFonts w:hint="eastAsia" w:eastAsia="仿宋_GB2312" w:cstheme="minorBidi"/>
          <w:sz w:val="32"/>
          <w:szCs w:val="32"/>
          <w:highlight w:val="none"/>
        </w:rPr>
        <w:t>个，公开项目占全部预算项目的100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。公开填报绩效目标的项目预算</w:t>
      </w:r>
      <w:r>
        <w:rPr>
          <w:rFonts w:hint="eastAsia" w:eastAsia="仿宋_GB2312" w:cstheme="minorBidi"/>
          <w:sz w:val="32"/>
          <w:szCs w:val="32"/>
          <w:highlight w:val="none"/>
          <w:u w:val="single"/>
          <w:lang w:val="en-US" w:eastAsia="zh-CN"/>
        </w:rPr>
        <w:t>508.8</w:t>
      </w:r>
      <w:r>
        <w:rPr>
          <w:rFonts w:hint="eastAsia" w:eastAsia="仿宋_GB2312" w:cstheme="minorBidi"/>
          <w:sz w:val="32"/>
          <w:szCs w:val="32"/>
          <w:highlight w:val="none"/>
        </w:rPr>
        <w:t>万元，占全部项目预算的100</w:t>
      </w:r>
      <w:r>
        <w:rPr>
          <w:rFonts w:hint="eastAsia" w:ascii="仿宋_GB2312" w:hAnsi="仿宋_GB2312" w:eastAsia="仿宋_GB2312" w:cstheme="minorBidi"/>
          <w:sz w:val="32"/>
          <w:szCs w:val="32"/>
          <w:highlight w:val="none"/>
          <w:lang w:eastAsia="zh-CN"/>
        </w:rPr>
        <w:t>%</w:t>
      </w:r>
      <w:r>
        <w:rPr>
          <w:rFonts w:hint="eastAsia" w:eastAsia="仿宋_GB2312" w:cstheme="minorBidi"/>
          <w:sz w:val="32"/>
          <w:szCs w:val="32"/>
          <w:highlight w:val="none"/>
        </w:rPr>
        <w:t xml:space="preserve">。 </w:t>
      </w:r>
    </w:p>
    <w:p>
      <w:pPr>
        <w:pStyle w:val="2"/>
        <w:spacing w:after="0" w:line="600" w:lineRule="exact"/>
        <w:rPr>
          <w:rFonts w:hint="default"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2" w:name="_Toc15573"/>
      <w:r>
        <w:rPr>
          <w:rFonts w:hint="eastAsia" w:ascii="方正小标宋简体" w:hAnsi="方正小标宋简体" w:eastAsia="方正小标宋简体" w:cs="方正小标宋简体"/>
          <w:b w:val="0"/>
          <w:bCs w:val="0"/>
          <w:sz w:val="36"/>
          <w:szCs w:val="36"/>
          <w:highlight w:val="none"/>
        </w:rPr>
        <w:t>第三部分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名词解释</w:t>
      </w:r>
      <w:bookmarkEnd w:id="2"/>
    </w:p>
    <w:p>
      <w:pPr>
        <w:rPr>
          <w:sz w:val="36"/>
          <w:szCs w:val="36"/>
          <w:highlight w:val="none"/>
        </w:rPr>
      </w:pP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一、财政拨款：</w:t>
      </w:r>
      <w:r>
        <w:rPr>
          <w:rFonts w:hint="eastAsia" w:eastAsia="仿宋_GB2312" w:cstheme="minorBidi"/>
          <w:sz w:val="32"/>
          <w:szCs w:val="32"/>
          <w:highlight w:val="none"/>
        </w:rPr>
        <w:t>从同级财政部门取得的各类财政拨款，包括一般公共预算拨款、政府性基金预算拨款、国有资本经营预算拨款。</w:t>
      </w:r>
    </w:p>
    <w:p>
      <w:pPr>
        <w:spacing w:line="600" w:lineRule="exact"/>
        <w:ind w:firstLine="643" w:firstLineChars="200"/>
        <w:rPr>
          <w:highlight w:val="none"/>
        </w:rPr>
      </w:pPr>
      <w:r>
        <w:rPr>
          <w:rFonts w:hint="eastAsia" w:eastAsia="仿宋_GB2312" w:cstheme="minorBidi"/>
          <w:b/>
          <w:bCs/>
          <w:sz w:val="32"/>
          <w:szCs w:val="32"/>
          <w:highlight w:val="none"/>
        </w:rPr>
        <w:t>二、一般公共预算拨款收入：</w:t>
      </w:r>
      <w:r>
        <w:rPr>
          <w:rFonts w:hint="eastAsia" w:ascii="Times New Roman" w:hAnsi="Times New Roman" w:eastAsia="仿宋_GB2312" w:cs="仿宋"/>
          <w:bCs/>
          <w:sz w:val="30"/>
          <w:szCs w:val="30"/>
          <w:highlight w:val="none"/>
        </w:rPr>
        <w:t>指财政当年拨付的资金。</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三、财政专户管理资金：</w:t>
      </w:r>
      <w:r>
        <w:rPr>
          <w:rFonts w:hint="eastAsia" w:eastAsia="仿宋_GB2312" w:cstheme="minorBidi"/>
          <w:sz w:val="32"/>
          <w:szCs w:val="32"/>
          <w:highlight w:val="none"/>
        </w:rPr>
        <w:t>缴入财政专户、实行专项管理的高中以上学费、住宿费、高校委托培养费、函大、电大、夜大及短训班培训费等教育收费。</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四、单位资金：</w:t>
      </w:r>
      <w:r>
        <w:rPr>
          <w:rFonts w:hint="eastAsia" w:eastAsia="仿宋_GB2312" w:cstheme="minorBidi"/>
          <w:sz w:val="32"/>
          <w:szCs w:val="32"/>
          <w:highlight w:val="none"/>
        </w:rPr>
        <w:t>除财政拨款收入和财政专户管理资金以外的收入，包括事业收入（不含教育收费）、上级补助收入、附属单位上缴收入、事业单位经营收入及其他收入（包含债务收入、投资收益等）。</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五、基本支出：</w:t>
      </w:r>
      <w:r>
        <w:rPr>
          <w:rFonts w:hint="eastAsia" w:eastAsia="仿宋_GB2312" w:cstheme="minorBidi"/>
          <w:sz w:val="32"/>
          <w:szCs w:val="32"/>
          <w:highlight w:val="none"/>
        </w:rPr>
        <w:t>指为保障机构正常运转、完成工作任务而发生的人员支出和公用支出。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六、项目支出：</w:t>
      </w:r>
      <w:r>
        <w:rPr>
          <w:rFonts w:hint="eastAsia" w:eastAsia="仿宋_GB2312" w:cstheme="minorBidi"/>
          <w:sz w:val="32"/>
          <w:szCs w:val="32"/>
          <w:highlight w:val="none"/>
        </w:rPr>
        <w:t>指在基本支出之外为完成特定工作任务和事业发展目标所发生的支出。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七、对个人和家庭的补助：</w:t>
      </w:r>
      <w:r>
        <w:rPr>
          <w:rFonts w:hint="eastAsia" w:eastAsia="仿宋_GB2312" w:cstheme="minorBidi"/>
          <w:sz w:val="32"/>
          <w:szCs w:val="32"/>
          <w:highlight w:val="none"/>
        </w:rPr>
        <w:t>是指政府用于对个人和家庭的补助支出。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八、“三公”经费：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用一般公共预算财政拨款安排的因公出国（境）费、公务用车购置及运行维护费和公务接待费。其中，因公出国（境）费反映部门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公务出国（境）的住宿费、旅费、伙食补助费、杂费、培训费等支出；公务用车购置及运行维护费反映部门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公务用车购置费、燃料费、维修费、过路过桥费、保险费、安全奖励费用等支出；公务接待费反映部门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按规定开支的各类公务接待（含外宾接待）支出。</w:t>
      </w:r>
    </w:p>
    <w:p>
      <w:pPr>
        <w:spacing w:line="600" w:lineRule="exact"/>
        <w:ind w:firstLine="643" w:firstLineChars="200"/>
        <w:rPr>
          <w:rFonts w:eastAsia="仿宋_GB2312" w:cstheme="minorBidi"/>
          <w:sz w:val="32"/>
          <w:szCs w:val="32"/>
          <w:highlight w:val="none"/>
        </w:rPr>
      </w:pPr>
      <w:r>
        <w:rPr>
          <w:rFonts w:hint="eastAsia" w:eastAsia="仿宋_GB2312" w:cstheme="minorBidi"/>
          <w:b/>
          <w:bCs/>
          <w:sz w:val="32"/>
          <w:szCs w:val="32"/>
          <w:highlight w:val="none"/>
        </w:rPr>
        <w:t>九、</w:t>
      </w:r>
      <w:r>
        <w:rPr>
          <w:rFonts w:hint="eastAsia" w:eastAsia="仿宋_GB2312" w:cstheme="minorBidi"/>
          <w:b/>
          <w:bCs/>
          <w:sz w:val="32"/>
          <w:szCs w:val="32"/>
          <w:highlight w:val="none"/>
          <w:lang w:val="en-US" w:eastAsia="zh-CN"/>
        </w:rPr>
        <w:t>机构</w:t>
      </w:r>
      <w:r>
        <w:rPr>
          <w:rFonts w:hint="eastAsia" w:eastAsia="仿宋_GB2312" w:cstheme="minorBidi"/>
          <w:b/>
          <w:bCs/>
          <w:sz w:val="32"/>
          <w:szCs w:val="32"/>
          <w:highlight w:val="none"/>
        </w:rPr>
        <w:t>运行经费：</w:t>
      </w:r>
      <w:r>
        <w:rPr>
          <w:rFonts w:hint="eastAsia" w:eastAsia="仿宋_GB2312" w:cstheme="minorBidi"/>
          <w:sz w:val="32"/>
          <w:szCs w:val="32"/>
          <w:highlight w:val="none"/>
        </w:rPr>
        <w:t>指部门</w:t>
      </w:r>
      <w:r>
        <w:rPr>
          <w:rFonts w:hint="eastAsia" w:eastAsia="仿宋_GB2312" w:cstheme="minorBidi"/>
          <w:sz w:val="32"/>
          <w:szCs w:val="32"/>
          <w:highlight w:val="none"/>
          <w:lang w:eastAsia="zh-CN"/>
        </w:rPr>
        <w:t>（</w:t>
      </w:r>
      <w:r>
        <w:rPr>
          <w:rFonts w:hint="eastAsia" w:eastAsia="仿宋_GB2312" w:cstheme="minorBidi"/>
          <w:sz w:val="32"/>
          <w:szCs w:val="32"/>
          <w:highlight w:val="none"/>
        </w:rPr>
        <w:t>单位</w:t>
      </w:r>
      <w:r>
        <w:rPr>
          <w:rFonts w:hint="eastAsia" w:eastAsia="仿宋_GB2312" w:cstheme="minorBidi"/>
          <w:sz w:val="32"/>
          <w:szCs w:val="32"/>
          <w:highlight w:val="none"/>
          <w:lang w:eastAsia="zh-CN"/>
        </w:rPr>
        <w:t>）</w:t>
      </w:r>
      <w:r>
        <w:rPr>
          <w:rFonts w:hint="eastAsia" w:eastAsia="仿宋_GB2312" w:cstheme="minorBidi"/>
          <w:sz w:val="32"/>
          <w:szCs w:val="32"/>
          <w:highlight w:val="none"/>
        </w:rPr>
        <w:t>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pPr>
        <w:spacing w:line="600" w:lineRule="exact"/>
        <w:jc w:val="center"/>
        <w:rPr>
          <w:rFonts w:ascii="方正小标宋简体" w:hAnsi="方正小标宋简体" w:eastAsia="方正小标宋简体" w:cs="方正小标宋简体"/>
          <w:sz w:val="36"/>
          <w:szCs w:val="36"/>
          <w:highlight w:val="none"/>
        </w:rPr>
      </w:pPr>
    </w:p>
    <w:p>
      <w:pPr>
        <w:pStyle w:val="5"/>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b w:val="0"/>
          <w:bCs w:val="0"/>
          <w:sz w:val="36"/>
          <w:szCs w:val="36"/>
          <w:highlight w:val="none"/>
        </w:rPr>
      </w:pPr>
      <w:bookmarkStart w:id="3" w:name="_Toc21331"/>
      <w:r>
        <w:rPr>
          <w:rFonts w:hint="eastAsia" w:ascii="方正小标宋简体" w:hAnsi="方正小标宋简体" w:eastAsia="方正小标宋简体" w:cs="方正小标宋简体"/>
          <w:b w:val="0"/>
          <w:bCs w:val="0"/>
          <w:sz w:val="36"/>
          <w:szCs w:val="36"/>
          <w:highlight w:val="none"/>
        </w:rPr>
        <w:t>第四部分</w:t>
      </w:r>
      <w:r>
        <w:rPr>
          <w:rFonts w:hint="eastAsia" w:ascii="方正小标宋简体" w:hAnsi="方正小标宋简体" w:eastAsia="方正小标宋简体" w:cs="方正小标宋简体"/>
          <w:b w:val="0"/>
          <w:bCs w:val="0"/>
          <w:sz w:val="36"/>
          <w:szCs w:val="36"/>
          <w:highlight w:val="none"/>
          <w:lang w:val="en-US" w:eastAsia="zh-CN"/>
        </w:rPr>
        <w:t xml:space="preserve">  </w:t>
      </w:r>
      <w:r>
        <w:rPr>
          <w:rFonts w:hint="eastAsia" w:ascii="方正小标宋简体" w:hAnsi="方正小标宋简体" w:eastAsia="方正小标宋简体" w:cs="方正小标宋简体"/>
          <w:b w:val="0"/>
          <w:bCs w:val="0"/>
          <w:sz w:val="36"/>
          <w:szCs w:val="36"/>
          <w:highlight w:val="none"/>
        </w:rPr>
        <w:t>预算公开联系方式及信息反馈渠道</w:t>
      </w:r>
      <w:bookmarkEnd w:id="3"/>
    </w:p>
    <w:p>
      <w:pPr>
        <w:snapToGrid w:val="0"/>
        <w:spacing w:line="600" w:lineRule="exact"/>
        <w:rPr>
          <w:rFonts w:ascii="方正小标宋简体" w:hAnsi="方正小标宋简体" w:eastAsia="方正小标宋简体" w:cs="方正小标宋简体"/>
          <w:sz w:val="36"/>
          <w:szCs w:val="36"/>
          <w:highlight w:val="none"/>
        </w:rPr>
      </w:pPr>
    </w:p>
    <w:p>
      <w:pPr>
        <w:snapToGrid w:val="0"/>
        <w:spacing w:line="60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本单位预算公开信息反馈和联系方式：</w:t>
      </w:r>
    </w:p>
    <w:p>
      <w:pPr>
        <w:snapToGrid w:val="0"/>
        <w:spacing w:line="600" w:lineRule="exact"/>
        <w:ind w:firstLine="640" w:firstLineChars="200"/>
        <w:rPr>
          <w:rFonts w:hint="default" w:ascii="仿宋_GB2312" w:hAnsi="仿宋_GB2312" w:eastAsia="仿宋_GB2312" w:cs="仿宋_GB2312"/>
          <w:sz w:val="32"/>
          <w:szCs w:val="32"/>
          <w:highlight w:val="none"/>
          <w:lang w:val="en-US" w:eastAsia="zh-CN"/>
        </w:rPr>
        <w:sectPr>
          <w:pgSz w:w="11910" w:h="16840"/>
          <w:pgMar w:top="1580" w:right="1630" w:bottom="280" w:left="1240" w:header="720" w:footer="720" w:gutter="0"/>
          <w:pgNumType w:fmt="numberInDash"/>
          <w:cols w:space="720" w:num="1"/>
        </w:sect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吴黎黎</w:t>
      </w:r>
      <w:r>
        <w:rPr>
          <w:rFonts w:hint="eastAsia" w:ascii="仿宋_GB2312" w:hAnsi="仿宋_GB2312" w:eastAsia="仿宋_GB2312" w:cs="仿宋_GB2312"/>
          <w:sz w:val="32"/>
          <w:szCs w:val="32"/>
          <w:highlight w:val="none"/>
        </w:rPr>
        <w:t xml:space="preserve">            联系电话：</w:t>
      </w:r>
      <w:r>
        <w:rPr>
          <w:rFonts w:hint="eastAsia" w:ascii="仿宋_GB2312" w:hAnsi="仿宋_GB2312" w:eastAsia="仿宋_GB2312" w:cs="仿宋_GB2312"/>
          <w:sz w:val="32"/>
          <w:szCs w:val="32"/>
          <w:highlight w:val="none"/>
          <w:lang w:val="en-US" w:eastAsia="zh-CN"/>
        </w:rPr>
        <w:t>0475-8836840</w:t>
      </w:r>
    </w:p>
    <w:p>
      <w:pPr>
        <w:pStyle w:val="5"/>
        <w:numPr>
          <w:ilvl w:val="0"/>
          <w:numId w:val="2"/>
        </w:numPr>
        <w:tabs>
          <w:tab w:val="left" w:pos="4392"/>
        </w:tabs>
        <w:adjustRightInd/>
        <w:snapToGrid/>
        <w:spacing w:before="0" w:after="0" w:line="600" w:lineRule="exact"/>
        <w:ind w:firstLine="0" w:firstLineChars="0"/>
        <w:jc w:val="center"/>
        <w:rPr>
          <w:rFonts w:ascii="方正小标宋简体" w:hAnsi="方正小标宋简体" w:eastAsia="方正小标宋简体" w:cs="方正小标宋简体"/>
          <w:sz w:val="36"/>
          <w:szCs w:val="36"/>
          <w:highlight w:val="none"/>
        </w:rPr>
      </w:pPr>
      <w:bookmarkStart w:id="4" w:name="_Toc2232"/>
      <w:r>
        <w:rPr>
          <w:rFonts w:hint="eastAsia" w:ascii="方正小标宋简体" w:hAnsi="方正小标宋简体" w:eastAsia="方正小标宋简体" w:cs="方正小标宋简体"/>
          <w:b w:val="0"/>
          <w:bCs w:val="0"/>
          <w:sz w:val="36"/>
          <w:szCs w:val="36"/>
          <w:highlight w:val="none"/>
        </w:rPr>
        <w:t xml:space="preserve"> </w:t>
      </w:r>
      <w:r>
        <w:rPr>
          <w:rFonts w:hint="eastAsia" w:ascii="方正小标宋简体" w:hAnsi="方正小标宋简体" w:eastAsia="方正小标宋简体" w:cs="方正小标宋简体"/>
          <w:b w:val="0"/>
          <w:bCs w:val="0"/>
          <w:sz w:val="36"/>
          <w:szCs w:val="36"/>
          <w:highlight w:val="none"/>
          <w:lang w:val="en-US" w:eastAsia="zh-CN"/>
        </w:rPr>
        <w:t>2024</w:t>
      </w:r>
      <w:r>
        <w:rPr>
          <w:rFonts w:hint="eastAsia" w:ascii="方正小标宋简体" w:hAnsi="方正小标宋简体" w:eastAsia="方正小标宋简体" w:cs="方正小标宋简体"/>
          <w:b w:val="0"/>
          <w:bCs w:val="0"/>
          <w:sz w:val="36"/>
          <w:szCs w:val="36"/>
          <w:highlight w:val="none"/>
        </w:rPr>
        <w:t>年度</w:t>
      </w:r>
      <w:r>
        <w:rPr>
          <w:rFonts w:hint="eastAsia" w:ascii="方正小标宋简体" w:hAnsi="方正小标宋简体" w:eastAsia="方正小标宋简体" w:cs="方正小标宋简体"/>
          <w:b w:val="0"/>
          <w:bCs w:val="0"/>
          <w:sz w:val="36"/>
          <w:szCs w:val="36"/>
          <w:highlight w:val="none"/>
          <w:lang w:val="en-US" w:eastAsia="zh-CN"/>
        </w:rPr>
        <w:t>通辽市科学技术协会</w:t>
      </w:r>
      <w:r>
        <w:rPr>
          <w:rFonts w:hint="eastAsia" w:ascii="方正小标宋简体" w:hAnsi="方正小标宋简体" w:eastAsia="方正小标宋简体" w:cs="方正小标宋简体"/>
          <w:b w:val="0"/>
          <w:bCs w:val="0"/>
          <w:sz w:val="36"/>
          <w:szCs w:val="36"/>
          <w:highlight w:val="none"/>
        </w:rPr>
        <w:t>部门预算</w:t>
      </w:r>
      <w:bookmarkStart w:id="5" w:name="_GoBack"/>
      <w:bookmarkEnd w:id="5"/>
      <w:r>
        <w:rPr>
          <w:rFonts w:hint="eastAsia" w:ascii="方正小标宋简体" w:hAnsi="方正小标宋简体" w:eastAsia="方正小标宋简体" w:cs="方正小标宋简体"/>
          <w:b w:val="0"/>
          <w:bCs w:val="0"/>
          <w:sz w:val="36"/>
          <w:szCs w:val="36"/>
          <w:highlight w:val="none"/>
        </w:rPr>
        <w:t>表</w:t>
      </w:r>
      <w:bookmarkEnd w:id="4"/>
    </w:p>
    <w:p>
      <w:pPr>
        <w:pStyle w:val="10"/>
        <w:spacing w:after="0" w:line="600" w:lineRule="exact"/>
        <w:ind w:firstLine="460"/>
        <w:rPr>
          <w:sz w:val="23"/>
          <w:highlight w:val="none"/>
        </w:rPr>
      </w:pPr>
    </w:p>
    <w:p>
      <w:pPr>
        <w:spacing w:line="500" w:lineRule="exact"/>
        <w:ind w:firstLine="640" w:firstLineChars="200"/>
        <w:rPr>
          <w:rFonts w:ascii="仿宋_GB2312" w:hAnsi="黑体" w:eastAsia="仿宋_GB2312"/>
          <w:color w:val="000000"/>
          <w:sz w:val="32"/>
          <w:szCs w:val="32"/>
        </w:rPr>
      </w:pPr>
      <w:r>
        <w:rPr>
          <w:rFonts w:hint="eastAsia" w:ascii="仿宋_GB2312" w:hAnsi="黑体" w:eastAsia="仿宋_GB2312"/>
          <w:color w:val="000000"/>
          <w:sz w:val="32"/>
          <w:szCs w:val="32"/>
        </w:rPr>
        <w:t>详见附表：部门所属单位预算公开</w:t>
      </w:r>
      <w:r>
        <w:rPr>
          <w:rFonts w:hint="eastAsia" w:ascii="仿宋_GB2312" w:hAnsi="黑体" w:eastAsia="仿宋_GB2312"/>
          <w:color w:val="000000"/>
          <w:sz w:val="32"/>
          <w:szCs w:val="32"/>
          <w:lang w:val="en-US" w:eastAsia="zh-CN"/>
        </w:rPr>
        <w:t>12</w:t>
      </w:r>
      <w:r>
        <w:rPr>
          <w:rFonts w:hint="eastAsia" w:ascii="仿宋_GB2312" w:hAnsi="黑体" w:eastAsia="仿宋_GB2312"/>
          <w:color w:val="000000"/>
          <w:sz w:val="32"/>
          <w:szCs w:val="32"/>
        </w:rPr>
        <w:t>张表以分表形式按系统要求上传。项目支出绩效目标表以总表形式上传。</w:t>
      </w:r>
    </w:p>
    <w:p>
      <w:pPr>
        <w:pStyle w:val="2"/>
        <w:ind w:left="0" w:leftChars="0" w:firstLine="720" w:firstLineChars="300"/>
        <w:rPr>
          <w:rFonts w:hint="default" w:eastAsia="宋体"/>
          <w:highlight w:val="none"/>
          <w:lang w:val="en-US" w:eastAsia="zh-CN"/>
        </w:rPr>
      </w:pPr>
    </w:p>
    <w:sectPr>
      <w:footerReference r:id="rId5"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D2992EB-9A8D-4791-A677-89CD7380AF57}"/>
  </w:font>
  <w:font w:name="黑体">
    <w:panose1 w:val="02010609060101010101"/>
    <w:charset w:val="86"/>
    <w:family w:val="auto"/>
    <w:pitch w:val="default"/>
    <w:sig w:usb0="800002BF" w:usb1="38CF7CFA" w:usb2="00000016" w:usb3="00000000" w:csb0="00040001" w:csb1="00000000"/>
    <w:embedRegular r:id="rId2" w:fontKey="{245AD015-C35F-4FB3-A061-3ECA4FBB26B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B3F6C1EB-366D-471B-957B-7FF030FA6E91}"/>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4" w:fontKey="{AA2CC172-5E84-4746-81A9-C489F2431DBE}"/>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Helv">
    <w:altName w:val="Segoe Print"/>
    <w:panose1 w:val="020B0604020202030204"/>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embedRegular r:id="rId5" w:fontKey="{DF9F3E35-BBC0-4943-BAC2-3AADE2B2B8EB}"/>
  </w:font>
  <w:font w:name="仿宋">
    <w:panose1 w:val="02010609060101010101"/>
    <w:charset w:val="86"/>
    <w:family w:val="modern"/>
    <w:pitch w:val="default"/>
    <w:sig w:usb0="800002BF" w:usb1="38CF7CFA" w:usb2="00000016" w:usb3="00000000" w:csb0="00040001" w:csb1="00000000"/>
    <w:embedRegular r:id="rId6" w:fontKey="{A9710F22-5EBB-4927-9A1A-2408CD27DEA6}"/>
  </w:font>
  <w:font w:name="楷体_GB2312">
    <w:altName w:val="楷体"/>
    <w:panose1 w:val="02010609030101010101"/>
    <w:charset w:val="86"/>
    <w:family w:val="modern"/>
    <w:pitch w:val="default"/>
    <w:sig w:usb0="00000000" w:usb1="00000000" w:usb2="00000010" w:usb3="00000000" w:csb0="00040000" w:csb1="00000000"/>
    <w:embedRegular r:id="rId7" w:fontKey="{A83E9A59-4157-420E-B902-2E1BC78B2EF9}"/>
  </w:font>
  <w:font w:name="楷体">
    <w:panose1 w:val="02010609060101010101"/>
    <w:charset w:val="86"/>
    <w:family w:val="modern"/>
    <w:pitch w:val="default"/>
    <w:sig w:usb0="800002BF" w:usb1="38CF7CFA" w:usb2="00000016" w:usb3="00000000" w:csb0="00040001" w:csb1="00000000"/>
    <w:embedRegular r:id="rId8" w:fontKey="{85C6AA99-F5B3-48A7-9DE6-94B18C7E7FDD}"/>
  </w:font>
  <w:font w:name="微软雅黑">
    <w:panose1 w:val="020B0503020204020204"/>
    <w:charset w:val="86"/>
    <w:family w:val="swiss"/>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1312" behindDoc="0" locked="0" layoutInCell="1" allowOverlap="1">
              <wp:simplePos x="0" y="0"/>
              <wp:positionH relativeFrom="margin">
                <wp:posOffset>2600960</wp:posOffset>
              </wp:positionH>
              <wp:positionV relativeFrom="paragraph">
                <wp:posOffset>17780</wp:posOffset>
              </wp:positionV>
              <wp:extent cx="795655" cy="35179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4.8pt;margin-top:1.4pt;height:27.7pt;width:62.65pt;mso-position-horizontal-relative:margin;z-index:251661312;mso-width-relative:page;mso-height-relative:page;" filled="f" stroked="f" coordsize="21600,21600" o:gfxdata="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Ape6y7XAAAACAEAAA8AAAAAAAAAAQAgAAAAIgAAAGRycy9kb3ducmV2LnhtbFBL&#10;AQIUABQAAAAIAIdO4kDr0pWXMAIAAFUEAAAOAAAAAAAAAAEAIAAAACYBAABkcnMvZTJvRG9jLnht&#10;bFBLBQYAAAAABgAGAFkBAADIBQ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- 4 -</w:t>
                    </w:r>
                    <w:r>
                      <w:rPr>
                        <w:sz w:val="24"/>
                        <w:szCs w:val="24"/>
                      </w:rPr>
                      <w:fldChar w:fldCharType="end"/>
                    </w:r>
                  </w:p>
                </w:txbxContent>
              </v:textbox>
            </v:shape>
          </w:pict>
        </mc:Fallback>
      </mc:AlternateContent>
    </w: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795655" cy="351790"/>
              <wp:effectExtent l="0" t="0" r="0" b="0"/>
              <wp:wrapNone/>
              <wp:docPr id="5" name="文本框 5"/>
              <wp:cNvGraphicFramePr/>
              <a:graphic xmlns:a="http://schemas.openxmlformats.org/drawingml/2006/main">
                <a:graphicData uri="http://schemas.microsoft.com/office/word/2010/wordprocessingShape">
                  <wps:wsp>
                    <wps:cNvSpPr txBox="1"/>
                    <wps:spPr>
                      <a:xfrm>
                        <a:off x="0" y="0"/>
                        <a:ext cx="795655" cy="3517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27.7pt;width:62.65pt;mso-position-horizontal:center;mso-position-horizontal-relative:margin;z-index:251660288;mso-width-relative:page;mso-height-relative:page;" filled="f" stroked="f" coordsize="21600,21600" o:gfxdata="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HDpdn1AAAAAQBAAAPAAAAAAAAAAEAIAAAACIAAABkcnMvZG93bnJldi54bWxQSwEC&#10;FAAUAAAACACHTuJAyGZD2zECAABVBAAADgAAAAAAAAABACAAAAAjAQAAZHJzL2Uyb0RvYy54bWxQ&#10;SwUGAAAAAAYABgBZAQAAxgUAAAAA&#10;">
              <v:fill on="f" focussize="0,0"/>
              <v:stroke on="f" weight="0.5pt"/>
              <v:imagedata o:title=""/>
              <o:lock v:ext="edit" aspectratio="f"/>
              <v:textbox inset="0mm,0mm,0mm,0mm">
                <w:txbxContent>
                  <w:p>
                    <w:pPr>
                      <w:pStyle w:val="13"/>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- 58 -</w:t>
                    </w:r>
                    <w:r>
                      <w:rPr>
                        <w:sz w:val="24"/>
                        <w:szCs w:val="24"/>
                      </w:rPr>
                      <w:fldChar w:fldCharType="end"/>
                    </w:r>
                  </w:p>
                </w:txbxContent>
              </v:textbox>
            </v:shape>
          </w:pict>
        </mc:Fallback>
      </mc:AlternateContent>
    </w: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6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65B7C3"/>
    <w:multiLevelType w:val="singleLevel"/>
    <w:tmpl w:val="3265B7C3"/>
    <w:lvl w:ilvl="0" w:tentative="0">
      <w:start w:val="1"/>
      <w:numFmt w:val="chineseCounting"/>
      <w:suff w:val="nothing"/>
      <w:lvlText w:val="%1、"/>
      <w:lvlJc w:val="left"/>
      <w:rPr>
        <w:rFonts w:hint="eastAsia"/>
      </w:rPr>
    </w:lvl>
  </w:abstractNum>
  <w:abstractNum w:abstractNumId="1">
    <w:nsid w:val="547366E4"/>
    <w:multiLevelType w:val="singleLevel"/>
    <w:tmpl w:val="547366E4"/>
    <w:lvl w:ilvl="0" w:tentative="0">
      <w:start w:val="5"/>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2NWJmM2ExY2Q4MTU5ZjI3NjQxYzEzMTNkMzk1ODYifQ=="/>
    <w:docVar w:name="KSO_WPS_MARK_KEY" w:val="b4879829-a6cd-4b1d-a927-97a96a389c66"/>
  </w:docVars>
  <w:rsids>
    <w:rsidRoot w:val="00172A27"/>
    <w:rsid w:val="00000CBF"/>
    <w:rsid w:val="000034CD"/>
    <w:rsid w:val="00003B87"/>
    <w:rsid w:val="000106AF"/>
    <w:rsid w:val="00010F09"/>
    <w:rsid w:val="00010F57"/>
    <w:rsid w:val="00014729"/>
    <w:rsid w:val="000168E2"/>
    <w:rsid w:val="00016E30"/>
    <w:rsid w:val="0001778D"/>
    <w:rsid w:val="00023930"/>
    <w:rsid w:val="0002537D"/>
    <w:rsid w:val="000267C9"/>
    <w:rsid w:val="000316D6"/>
    <w:rsid w:val="00034C3D"/>
    <w:rsid w:val="00035935"/>
    <w:rsid w:val="00035BD9"/>
    <w:rsid w:val="00037650"/>
    <w:rsid w:val="000408B3"/>
    <w:rsid w:val="000409C6"/>
    <w:rsid w:val="00040A7B"/>
    <w:rsid w:val="0004437D"/>
    <w:rsid w:val="00044D5A"/>
    <w:rsid w:val="00047F92"/>
    <w:rsid w:val="000517C8"/>
    <w:rsid w:val="00052722"/>
    <w:rsid w:val="00052AB3"/>
    <w:rsid w:val="000530B5"/>
    <w:rsid w:val="000547DF"/>
    <w:rsid w:val="00056E21"/>
    <w:rsid w:val="00063642"/>
    <w:rsid w:val="00065474"/>
    <w:rsid w:val="00071596"/>
    <w:rsid w:val="00073EED"/>
    <w:rsid w:val="00080B1C"/>
    <w:rsid w:val="00082025"/>
    <w:rsid w:val="000843F5"/>
    <w:rsid w:val="00084B87"/>
    <w:rsid w:val="00084C61"/>
    <w:rsid w:val="00084EE5"/>
    <w:rsid w:val="00085C93"/>
    <w:rsid w:val="00087A5E"/>
    <w:rsid w:val="00090945"/>
    <w:rsid w:val="00094212"/>
    <w:rsid w:val="00094289"/>
    <w:rsid w:val="00094579"/>
    <w:rsid w:val="0009486F"/>
    <w:rsid w:val="00097AD5"/>
    <w:rsid w:val="00097E70"/>
    <w:rsid w:val="000A3463"/>
    <w:rsid w:val="000A3CBA"/>
    <w:rsid w:val="000B179A"/>
    <w:rsid w:val="000B19DD"/>
    <w:rsid w:val="000B271C"/>
    <w:rsid w:val="000B3090"/>
    <w:rsid w:val="000B395D"/>
    <w:rsid w:val="000B4C87"/>
    <w:rsid w:val="000B5E2F"/>
    <w:rsid w:val="000B75C9"/>
    <w:rsid w:val="000C2547"/>
    <w:rsid w:val="000C2657"/>
    <w:rsid w:val="000C3B4A"/>
    <w:rsid w:val="000C7570"/>
    <w:rsid w:val="000D1A18"/>
    <w:rsid w:val="000D4710"/>
    <w:rsid w:val="000E093A"/>
    <w:rsid w:val="000E597B"/>
    <w:rsid w:val="000E63BF"/>
    <w:rsid w:val="000F0BD4"/>
    <w:rsid w:val="000F344F"/>
    <w:rsid w:val="000F6C2D"/>
    <w:rsid w:val="000F7468"/>
    <w:rsid w:val="000F746A"/>
    <w:rsid w:val="00102140"/>
    <w:rsid w:val="00106E16"/>
    <w:rsid w:val="001114EC"/>
    <w:rsid w:val="00112A96"/>
    <w:rsid w:val="001133DF"/>
    <w:rsid w:val="00114F9E"/>
    <w:rsid w:val="001151B8"/>
    <w:rsid w:val="00122854"/>
    <w:rsid w:val="00122B22"/>
    <w:rsid w:val="00123EEA"/>
    <w:rsid w:val="00126508"/>
    <w:rsid w:val="001329DF"/>
    <w:rsid w:val="001342A7"/>
    <w:rsid w:val="00142E3E"/>
    <w:rsid w:val="001432CD"/>
    <w:rsid w:val="0014381D"/>
    <w:rsid w:val="0014464F"/>
    <w:rsid w:val="00152205"/>
    <w:rsid w:val="00153AFD"/>
    <w:rsid w:val="00155332"/>
    <w:rsid w:val="00155E13"/>
    <w:rsid w:val="00157214"/>
    <w:rsid w:val="001602D6"/>
    <w:rsid w:val="00163244"/>
    <w:rsid w:val="00163F67"/>
    <w:rsid w:val="00172A27"/>
    <w:rsid w:val="001735FD"/>
    <w:rsid w:val="001738CA"/>
    <w:rsid w:val="00175368"/>
    <w:rsid w:val="001802D6"/>
    <w:rsid w:val="00183BED"/>
    <w:rsid w:val="00191536"/>
    <w:rsid w:val="00193879"/>
    <w:rsid w:val="001940E1"/>
    <w:rsid w:val="00196BA0"/>
    <w:rsid w:val="0019719A"/>
    <w:rsid w:val="001A02B5"/>
    <w:rsid w:val="001A1BDF"/>
    <w:rsid w:val="001A2F89"/>
    <w:rsid w:val="001A3158"/>
    <w:rsid w:val="001A3CE2"/>
    <w:rsid w:val="001A5241"/>
    <w:rsid w:val="001B012D"/>
    <w:rsid w:val="001B0DDF"/>
    <w:rsid w:val="001B1449"/>
    <w:rsid w:val="001B3621"/>
    <w:rsid w:val="001B4457"/>
    <w:rsid w:val="001B5368"/>
    <w:rsid w:val="001B5886"/>
    <w:rsid w:val="001B5EC9"/>
    <w:rsid w:val="001B7FCD"/>
    <w:rsid w:val="001C0CDF"/>
    <w:rsid w:val="001C4010"/>
    <w:rsid w:val="001C6BF1"/>
    <w:rsid w:val="001D3C7E"/>
    <w:rsid w:val="001D6D0B"/>
    <w:rsid w:val="001D7958"/>
    <w:rsid w:val="001E0433"/>
    <w:rsid w:val="001E3429"/>
    <w:rsid w:val="001E68D8"/>
    <w:rsid w:val="001E76DB"/>
    <w:rsid w:val="001F4C1E"/>
    <w:rsid w:val="001F6B7A"/>
    <w:rsid w:val="00200204"/>
    <w:rsid w:val="002015D3"/>
    <w:rsid w:val="002039F1"/>
    <w:rsid w:val="002044DF"/>
    <w:rsid w:val="002049F7"/>
    <w:rsid w:val="0021312E"/>
    <w:rsid w:val="0021383F"/>
    <w:rsid w:val="00214BEE"/>
    <w:rsid w:val="0021585B"/>
    <w:rsid w:val="0021600A"/>
    <w:rsid w:val="0021726C"/>
    <w:rsid w:val="00217770"/>
    <w:rsid w:val="00220C2A"/>
    <w:rsid w:val="00221E65"/>
    <w:rsid w:val="002240B1"/>
    <w:rsid w:val="0022415F"/>
    <w:rsid w:val="00224835"/>
    <w:rsid w:val="00224F3D"/>
    <w:rsid w:val="00225C23"/>
    <w:rsid w:val="00233D9B"/>
    <w:rsid w:val="00236FA6"/>
    <w:rsid w:val="00240094"/>
    <w:rsid w:val="00241B6B"/>
    <w:rsid w:val="002431E6"/>
    <w:rsid w:val="0024416D"/>
    <w:rsid w:val="00244B90"/>
    <w:rsid w:val="00245FFD"/>
    <w:rsid w:val="0025052F"/>
    <w:rsid w:val="0025133B"/>
    <w:rsid w:val="002519F2"/>
    <w:rsid w:val="00251E52"/>
    <w:rsid w:val="00252024"/>
    <w:rsid w:val="00252295"/>
    <w:rsid w:val="002604EC"/>
    <w:rsid w:val="0026390E"/>
    <w:rsid w:val="00266811"/>
    <w:rsid w:val="002670EA"/>
    <w:rsid w:val="00270D49"/>
    <w:rsid w:val="002742F8"/>
    <w:rsid w:val="002748BD"/>
    <w:rsid w:val="00274A4D"/>
    <w:rsid w:val="00274E33"/>
    <w:rsid w:val="00286355"/>
    <w:rsid w:val="00286B1A"/>
    <w:rsid w:val="00287D92"/>
    <w:rsid w:val="00290958"/>
    <w:rsid w:val="00291FC4"/>
    <w:rsid w:val="002926AE"/>
    <w:rsid w:val="00293A42"/>
    <w:rsid w:val="00293F3B"/>
    <w:rsid w:val="00294D1F"/>
    <w:rsid w:val="002A25F0"/>
    <w:rsid w:val="002A38DC"/>
    <w:rsid w:val="002A3F94"/>
    <w:rsid w:val="002A4CC2"/>
    <w:rsid w:val="002B0E96"/>
    <w:rsid w:val="002B21CC"/>
    <w:rsid w:val="002B3658"/>
    <w:rsid w:val="002B37C5"/>
    <w:rsid w:val="002B7E88"/>
    <w:rsid w:val="002D028A"/>
    <w:rsid w:val="002D27EE"/>
    <w:rsid w:val="002D2D64"/>
    <w:rsid w:val="002D3180"/>
    <w:rsid w:val="002D4EA7"/>
    <w:rsid w:val="002D6124"/>
    <w:rsid w:val="002D6167"/>
    <w:rsid w:val="002D70B8"/>
    <w:rsid w:val="002D7791"/>
    <w:rsid w:val="002D7AEB"/>
    <w:rsid w:val="002D7FE5"/>
    <w:rsid w:val="002F0AEA"/>
    <w:rsid w:val="002F0CEB"/>
    <w:rsid w:val="002F1022"/>
    <w:rsid w:val="002F2712"/>
    <w:rsid w:val="002F73C2"/>
    <w:rsid w:val="002F7AA1"/>
    <w:rsid w:val="0030209D"/>
    <w:rsid w:val="00304A27"/>
    <w:rsid w:val="0030703E"/>
    <w:rsid w:val="00307477"/>
    <w:rsid w:val="003115CC"/>
    <w:rsid w:val="00313750"/>
    <w:rsid w:val="00316EA0"/>
    <w:rsid w:val="00321A3C"/>
    <w:rsid w:val="0033160F"/>
    <w:rsid w:val="00331DB0"/>
    <w:rsid w:val="003337F4"/>
    <w:rsid w:val="00335EEB"/>
    <w:rsid w:val="00337D32"/>
    <w:rsid w:val="003406D1"/>
    <w:rsid w:val="0034673B"/>
    <w:rsid w:val="00351751"/>
    <w:rsid w:val="00351CBC"/>
    <w:rsid w:val="00352172"/>
    <w:rsid w:val="00355342"/>
    <w:rsid w:val="00356692"/>
    <w:rsid w:val="00356F2E"/>
    <w:rsid w:val="003575C9"/>
    <w:rsid w:val="0036025D"/>
    <w:rsid w:val="00361339"/>
    <w:rsid w:val="003617B4"/>
    <w:rsid w:val="003631E0"/>
    <w:rsid w:val="003655C7"/>
    <w:rsid w:val="003666F6"/>
    <w:rsid w:val="00367F5C"/>
    <w:rsid w:val="00367FEB"/>
    <w:rsid w:val="00370C21"/>
    <w:rsid w:val="0037119D"/>
    <w:rsid w:val="00371460"/>
    <w:rsid w:val="00371E38"/>
    <w:rsid w:val="00374C99"/>
    <w:rsid w:val="00374EC2"/>
    <w:rsid w:val="00375717"/>
    <w:rsid w:val="00377F83"/>
    <w:rsid w:val="00385C9F"/>
    <w:rsid w:val="00385D9C"/>
    <w:rsid w:val="00386A78"/>
    <w:rsid w:val="00387B4F"/>
    <w:rsid w:val="00387FDC"/>
    <w:rsid w:val="003900E4"/>
    <w:rsid w:val="003908AD"/>
    <w:rsid w:val="003944BB"/>
    <w:rsid w:val="003945B5"/>
    <w:rsid w:val="00394D62"/>
    <w:rsid w:val="00395D0B"/>
    <w:rsid w:val="00397362"/>
    <w:rsid w:val="003A003A"/>
    <w:rsid w:val="003A1185"/>
    <w:rsid w:val="003A3E3C"/>
    <w:rsid w:val="003A3F4A"/>
    <w:rsid w:val="003A4972"/>
    <w:rsid w:val="003B4A14"/>
    <w:rsid w:val="003B5570"/>
    <w:rsid w:val="003B77B6"/>
    <w:rsid w:val="003C31AB"/>
    <w:rsid w:val="003C35CD"/>
    <w:rsid w:val="003C43EA"/>
    <w:rsid w:val="003C4F65"/>
    <w:rsid w:val="003C53D2"/>
    <w:rsid w:val="003C7866"/>
    <w:rsid w:val="003D0971"/>
    <w:rsid w:val="003D3C90"/>
    <w:rsid w:val="003D5CBF"/>
    <w:rsid w:val="003E02C3"/>
    <w:rsid w:val="003E18C9"/>
    <w:rsid w:val="003F567D"/>
    <w:rsid w:val="003F7782"/>
    <w:rsid w:val="00400588"/>
    <w:rsid w:val="00406AC9"/>
    <w:rsid w:val="0041073B"/>
    <w:rsid w:val="0041167C"/>
    <w:rsid w:val="004138A8"/>
    <w:rsid w:val="0041426C"/>
    <w:rsid w:val="00416FDF"/>
    <w:rsid w:val="00417B37"/>
    <w:rsid w:val="0042054B"/>
    <w:rsid w:val="00420D95"/>
    <w:rsid w:val="004253B8"/>
    <w:rsid w:val="00425ED7"/>
    <w:rsid w:val="00426740"/>
    <w:rsid w:val="00427C2F"/>
    <w:rsid w:val="0043128C"/>
    <w:rsid w:val="00434D44"/>
    <w:rsid w:val="0044228B"/>
    <w:rsid w:val="00442688"/>
    <w:rsid w:val="00442AED"/>
    <w:rsid w:val="00442D5D"/>
    <w:rsid w:val="00444B82"/>
    <w:rsid w:val="004459F0"/>
    <w:rsid w:val="00454633"/>
    <w:rsid w:val="00454737"/>
    <w:rsid w:val="00455BF8"/>
    <w:rsid w:val="00456DB3"/>
    <w:rsid w:val="00456EAD"/>
    <w:rsid w:val="004604FE"/>
    <w:rsid w:val="004611A8"/>
    <w:rsid w:val="00467117"/>
    <w:rsid w:val="00467D70"/>
    <w:rsid w:val="00467DC5"/>
    <w:rsid w:val="004702DB"/>
    <w:rsid w:val="00470C8E"/>
    <w:rsid w:val="00473D33"/>
    <w:rsid w:val="004769DB"/>
    <w:rsid w:val="00481EB5"/>
    <w:rsid w:val="00482B89"/>
    <w:rsid w:val="004833E7"/>
    <w:rsid w:val="00483401"/>
    <w:rsid w:val="00491B17"/>
    <w:rsid w:val="004931F8"/>
    <w:rsid w:val="00494023"/>
    <w:rsid w:val="004967F7"/>
    <w:rsid w:val="00497241"/>
    <w:rsid w:val="004A1F81"/>
    <w:rsid w:val="004A20B6"/>
    <w:rsid w:val="004A2789"/>
    <w:rsid w:val="004A2DF3"/>
    <w:rsid w:val="004A2FCA"/>
    <w:rsid w:val="004A3875"/>
    <w:rsid w:val="004A7AF4"/>
    <w:rsid w:val="004B048E"/>
    <w:rsid w:val="004B143B"/>
    <w:rsid w:val="004B174D"/>
    <w:rsid w:val="004B5933"/>
    <w:rsid w:val="004C500C"/>
    <w:rsid w:val="004C5FFC"/>
    <w:rsid w:val="004C74F7"/>
    <w:rsid w:val="004D1253"/>
    <w:rsid w:val="004D158E"/>
    <w:rsid w:val="004D2861"/>
    <w:rsid w:val="004D5666"/>
    <w:rsid w:val="004D6BB1"/>
    <w:rsid w:val="004D7A03"/>
    <w:rsid w:val="004D7DBF"/>
    <w:rsid w:val="004E0454"/>
    <w:rsid w:val="004E06ED"/>
    <w:rsid w:val="004E1457"/>
    <w:rsid w:val="004E4A43"/>
    <w:rsid w:val="004E4BBF"/>
    <w:rsid w:val="004F2CDD"/>
    <w:rsid w:val="004F4D87"/>
    <w:rsid w:val="004F55CD"/>
    <w:rsid w:val="004F58A0"/>
    <w:rsid w:val="004F5F12"/>
    <w:rsid w:val="004F6692"/>
    <w:rsid w:val="004F77B0"/>
    <w:rsid w:val="00501EEF"/>
    <w:rsid w:val="00502A31"/>
    <w:rsid w:val="00505021"/>
    <w:rsid w:val="00506790"/>
    <w:rsid w:val="00510EFF"/>
    <w:rsid w:val="00511717"/>
    <w:rsid w:val="00511B53"/>
    <w:rsid w:val="005146EE"/>
    <w:rsid w:val="005160E3"/>
    <w:rsid w:val="005161E3"/>
    <w:rsid w:val="00516B40"/>
    <w:rsid w:val="005203F0"/>
    <w:rsid w:val="00521E09"/>
    <w:rsid w:val="00525EB0"/>
    <w:rsid w:val="00535551"/>
    <w:rsid w:val="0053664B"/>
    <w:rsid w:val="00540718"/>
    <w:rsid w:val="00540B71"/>
    <w:rsid w:val="00541F46"/>
    <w:rsid w:val="0054292B"/>
    <w:rsid w:val="005440BF"/>
    <w:rsid w:val="0054661A"/>
    <w:rsid w:val="005510D1"/>
    <w:rsid w:val="00552574"/>
    <w:rsid w:val="00554DCA"/>
    <w:rsid w:val="00556C59"/>
    <w:rsid w:val="00557E0E"/>
    <w:rsid w:val="005604D0"/>
    <w:rsid w:val="005614CC"/>
    <w:rsid w:val="005615F3"/>
    <w:rsid w:val="0056225D"/>
    <w:rsid w:val="00562E92"/>
    <w:rsid w:val="005639FA"/>
    <w:rsid w:val="0056420B"/>
    <w:rsid w:val="00564ABA"/>
    <w:rsid w:val="005653F5"/>
    <w:rsid w:val="00571BB6"/>
    <w:rsid w:val="00572A14"/>
    <w:rsid w:val="0057572A"/>
    <w:rsid w:val="00576A02"/>
    <w:rsid w:val="0058236D"/>
    <w:rsid w:val="00582BA2"/>
    <w:rsid w:val="00583D19"/>
    <w:rsid w:val="0058789A"/>
    <w:rsid w:val="00593F60"/>
    <w:rsid w:val="00594E72"/>
    <w:rsid w:val="00594E89"/>
    <w:rsid w:val="00595732"/>
    <w:rsid w:val="005957A8"/>
    <w:rsid w:val="005A0020"/>
    <w:rsid w:val="005A0592"/>
    <w:rsid w:val="005A09E0"/>
    <w:rsid w:val="005A1BC7"/>
    <w:rsid w:val="005A7383"/>
    <w:rsid w:val="005B155E"/>
    <w:rsid w:val="005B1651"/>
    <w:rsid w:val="005B1D05"/>
    <w:rsid w:val="005B544A"/>
    <w:rsid w:val="005B570B"/>
    <w:rsid w:val="005B5DBA"/>
    <w:rsid w:val="005B5ECD"/>
    <w:rsid w:val="005C5D3B"/>
    <w:rsid w:val="005C773C"/>
    <w:rsid w:val="005D2118"/>
    <w:rsid w:val="005D476C"/>
    <w:rsid w:val="005D5AEF"/>
    <w:rsid w:val="005E031D"/>
    <w:rsid w:val="005E2226"/>
    <w:rsid w:val="005F007E"/>
    <w:rsid w:val="005F22D5"/>
    <w:rsid w:val="005F2659"/>
    <w:rsid w:val="005F3198"/>
    <w:rsid w:val="005F5238"/>
    <w:rsid w:val="005F5B86"/>
    <w:rsid w:val="00603A8C"/>
    <w:rsid w:val="00607135"/>
    <w:rsid w:val="00610D76"/>
    <w:rsid w:val="0061425B"/>
    <w:rsid w:val="00615CCA"/>
    <w:rsid w:val="00616504"/>
    <w:rsid w:val="00616551"/>
    <w:rsid w:val="00617C3C"/>
    <w:rsid w:val="00623384"/>
    <w:rsid w:val="006236AD"/>
    <w:rsid w:val="0063195F"/>
    <w:rsid w:val="00632944"/>
    <w:rsid w:val="006355A9"/>
    <w:rsid w:val="00637A4F"/>
    <w:rsid w:val="00641CD5"/>
    <w:rsid w:val="00642BB6"/>
    <w:rsid w:val="00644031"/>
    <w:rsid w:val="00644FBC"/>
    <w:rsid w:val="00647134"/>
    <w:rsid w:val="00652DB9"/>
    <w:rsid w:val="0065703E"/>
    <w:rsid w:val="006575E7"/>
    <w:rsid w:val="00657673"/>
    <w:rsid w:val="00661E32"/>
    <w:rsid w:val="00662CCA"/>
    <w:rsid w:val="00662EC6"/>
    <w:rsid w:val="00662F26"/>
    <w:rsid w:val="00665B56"/>
    <w:rsid w:val="006720DF"/>
    <w:rsid w:val="00672743"/>
    <w:rsid w:val="00681E9C"/>
    <w:rsid w:val="00682B2E"/>
    <w:rsid w:val="00683341"/>
    <w:rsid w:val="006853C1"/>
    <w:rsid w:val="0068695A"/>
    <w:rsid w:val="00686C54"/>
    <w:rsid w:val="00687D34"/>
    <w:rsid w:val="00691B56"/>
    <w:rsid w:val="00691CC7"/>
    <w:rsid w:val="00691D88"/>
    <w:rsid w:val="00691EC8"/>
    <w:rsid w:val="00693C36"/>
    <w:rsid w:val="0069508B"/>
    <w:rsid w:val="00695904"/>
    <w:rsid w:val="006966EC"/>
    <w:rsid w:val="0069730F"/>
    <w:rsid w:val="00697930"/>
    <w:rsid w:val="006A0A1B"/>
    <w:rsid w:val="006A1B40"/>
    <w:rsid w:val="006A29F4"/>
    <w:rsid w:val="006A33FD"/>
    <w:rsid w:val="006A4D49"/>
    <w:rsid w:val="006A5098"/>
    <w:rsid w:val="006A623D"/>
    <w:rsid w:val="006B1149"/>
    <w:rsid w:val="006B1F4E"/>
    <w:rsid w:val="006B35D8"/>
    <w:rsid w:val="006B5EC7"/>
    <w:rsid w:val="006B6C41"/>
    <w:rsid w:val="006C0F17"/>
    <w:rsid w:val="006C3341"/>
    <w:rsid w:val="006C3359"/>
    <w:rsid w:val="006C4A23"/>
    <w:rsid w:val="006C5697"/>
    <w:rsid w:val="006C6FF2"/>
    <w:rsid w:val="006C79FA"/>
    <w:rsid w:val="006C7ECE"/>
    <w:rsid w:val="006D10E1"/>
    <w:rsid w:val="006D3BB4"/>
    <w:rsid w:val="006D4EAB"/>
    <w:rsid w:val="006F04BC"/>
    <w:rsid w:val="006F520F"/>
    <w:rsid w:val="00700A16"/>
    <w:rsid w:val="00701E0C"/>
    <w:rsid w:val="0070236E"/>
    <w:rsid w:val="00702E1F"/>
    <w:rsid w:val="00705D96"/>
    <w:rsid w:val="00706BD6"/>
    <w:rsid w:val="00710B15"/>
    <w:rsid w:val="00710DBC"/>
    <w:rsid w:val="00710F2F"/>
    <w:rsid w:val="00711981"/>
    <w:rsid w:val="00712513"/>
    <w:rsid w:val="00714FCB"/>
    <w:rsid w:val="00716714"/>
    <w:rsid w:val="00717855"/>
    <w:rsid w:val="007208BC"/>
    <w:rsid w:val="007223AD"/>
    <w:rsid w:val="0072313B"/>
    <w:rsid w:val="0073016A"/>
    <w:rsid w:val="007319CE"/>
    <w:rsid w:val="0073502E"/>
    <w:rsid w:val="00735453"/>
    <w:rsid w:val="0074153A"/>
    <w:rsid w:val="00741A58"/>
    <w:rsid w:val="007438FA"/>
    <w:rsid w:val="007444F9"/>
    <w:rsid w:val="00745662"/>
    <w:rsid w:val="00746BB0"/>
    <w:rsid w:val="007500F5"/>
    <w:rsid w:val="00751B12"/>
    <w:rsid w:val="007525B4"/>
    <w:rsid w:val="0075361E"/>
    <w:rsid w:val="00755B39"/>
    <w:rsid w:val="00756505"/>
    <w:rsid w:val="007602DD"/>
    <w:rsid w:val="00760CD7"/>
    <w:rsid w:val="0076688E"/>
    <w:rsid w:val="007720CC"/>
    <w:rsid w:val="0077226B"/>
    <w:rsid w:val="00773DB6"/>
    <w:rsid w:val="0077514A"/>
    <w:rsid w:val="00781279"/>
    <w:rsid w:val="00783AFE"/>
    <w:rsid w:val="007904FF"/>
    <w:rsid w:val="007925EB"/>
    <w:rsid w:val="00796798"/>
    <w:rsid w:val="00797B28"/>
    <w:rsid w:val="007A038A"/>
    <w:rsid w:val="007A1E1B"/>
    <w:rsid w:val="007A23C5"/>
    <w:rsid w:val="007A3D48"/>
    <w:rsid w:val="007A5961"/>
    <w:rsid w:val="007A62AF"/>
    <w:rsid w:val="007A6303"/>
    <w:rsid w:val="007A73B9"/>
    <w:rsid w:val="007B0811"/>
    <w:rsid w:val="007B12CC"/>
    <w:rsid w:val="007B31EB"/>
    <w:rsid w:val="007B425E"/>
    <w:rsid w:val="007C1D53"/>
    <w:rsid w:val="007C22F2"/>
    <w:rsid w:val="007C4FA1"/>
    <w:rsid w:val="007D2F2B"/>
    <w:rsid w:val="007D48A4"/>
    <w:rsid w:val="007D719A"/>
    <w:rsid w:val="007E11AF"/>
    <w:rsid w:val="007E36AC"/>
    <w:rsid w:val="007E4B97"/>
    <w:rsid w:val="007E5353"/>
    <w:rsid w:val="007E55B7"/>
    <w:rsid w:val="007E6392"/>
    <w:rsid w:val="007F42D9"/>
    <w:rsid w:val="007F5799"/>
    <w:rsid w:val="007F5BF8"/>
    <w:rsid w:val="007F7B66"/>
    <w:rsid w:val="00801DE2"/>
    <w:rsid w:val="00802AAD"/>
    <w:rsid w:val="008038C9"/>
    <w:rsid w:val="0080646E"/>
    <w:rsid w:val="00806C2A"/>
    <w:rsid w:val="008077DA"/>
    <w:rsid w:val="008153A1"/>
    <w:rsid w:val="00825BFE"/>
    <w:rsid w:val="00825C8F"/>
    <w:rsid w:val="00826B5E"/>
    <w:rsid w:val="00831380"/>
    <w:rsid w:val="00831843"/>
    <w:rsid w:val="00832D6F"/>
    <w:rsid w:val="008330BB"/>
    <w:rsid w:val="00833CAD"/>
    <w:rsid w:val="008406FC"/>
    <w:rsid w:val="00840AA3"/>
    <w:rsid w:val="008410E6"/>
    <w:rsid w:val="00841318"/>
    <w:rsid w:val="00841E77"/>
    <w:rsid w:val="008421E5"/>
    <w:rsid w:val="00845E45"/>
    <w:rsid w:val="008512E3"/>
    <w:rsid w:val="00851C1E"/>
    <w:rsid w:val="00853166"/>
    <w:rsid w:val="008545A3"/>
    <w:rsid w:val="00856CD9"/>
    <w:rsid w:val="00862F0E"/>
    <w:rsid w:val="00863E6B"/>
    <w:rsid w:val="008655F8"/>
    <w:rsid w:val="00867DAD"/>
    <w:rsid w:val="00867EAE"/>
    <w:rsid w:val="00870A99"/>
    <w:rsid w:val="00871458"/>
    <w:rsid w:val="00872CB6"/>
    <w:rsid w:val="00874F21"/>
    <w:rsid w:val="00882D02"/>
    <w:rsid w:val="00883213"/>
    <w:rsid w:val="00884A1B"/>
    <w:rsid w:val="008923A4"/>
    <w:rsid w:val="008927E0"/>
    <w:rsid w:val="00893556"/>
    <w:rsid w:val="00893B88"/>
    <w:rsid w:val="008953C4"/>
    <w:rsid w:val="008A02F3"/>
    <w:rsid w:val="008A4193"/>
    <w:rsid w:val="008A4440"/>
    <w:rsid w:val="008A58B3"/>
    <w:rsid w:val="008B024E"/>
    <w:rsid w:val="008B14E4"/>
    <w:rsid w:val="008B2C45"/>
    <w:rsid w:val="008B4190"/>
    <w:rsid w:val="008C0361"/>
    <w:rsid w:val="008C2670"/>
    <w:rsid w:val="008C6831"/>
    <w:rsid w:val="008C736D"/>
    <w:rsid w:val="008D30DD"/>
    <w:rsid w:val="008D35B6"/>
    <w:rsid w:val="008D5D5A"/>
    <w:rsid w:val="008D63C9"/>
    <w:rsid w:val="008D77B0"/>
    <w:rsid w:val="008E06A1"/>
    <w:rsid w:val="008E1673"/>
    <w:rsid w:val="008E6D68"/>
    <w:rsid w:val="008F4555"/>
    <w:rsid w:val="00900431"/>
    <w:rsid w:val="00902193"/>
    <w:rsid w:val="0090328C"/>
    <w:rsid w:val="00910123"/>
    <w:rsid w:val="00912961"/>
    <w:rsid w:val="00913386"/>
    <w:rsid w:val="00913F71"/>
    <w:rsid w:val="00914563"/>
    <w:rsid w:val="00916D35"/>
    <w:rsid w:val="00921822"/>
    <w:rsid w:val="00921960"/>
    <w:rsid w:val="0092196F"/>
    <w:rsid w:val="00923F6C"/>
    <w:rsid w:val="00925D28"/>
    <w:rsid w:val="00927B48"/>
    <w:rsid w:val="00931166"/>
    <w:rsid w:val="0093340A"/>
    <w:rsid w:val="00933955"/>
    <w:rsid w:val="00935A11"/>
    <w:rsid w:val="00936518"/>
    <w:rsid w:val="00937032"/>
    <w:rsid w:val="00937C98"/>
    <w:rsid w:val="0094258F"/>
    <w:rsid w:val="0094661D"/>
    <w:rsid w:val="0095122D"/>
    <w:rsid w:val="00952194"/>
    <w:rsid w:val="00955087"/>
    <w:rsid w:val="0095730F"/>
    <w:rsid w:val="0096060D"/>
    <w:rsid w:val="00961C95"/>
    <w:rsid w:val="00962A5F"/>
    <w:rsid w:val="00963B0B"/>
    <w:rsid w:val="0096467C"/>
    <w:rsid w:val="00965969"/>
    <w:rsid w:val="00965DB7"/>
    <w:rsid w:val="009667C2"/>
    <w:rsid w:val="00967F39"/>
    <w:rsid w:val="00970038"/>
    <w:rsid w:val="00971D84"/>
    <w:rsid w:val="0097237D"/>
    <w:rsid w:val="009740A2"/>
    <w:rsid w:val="00976F17"/>
    <w:rsid w:val="00981972"/>
    <w:rsid w:val="0098245F"/>
    <w:rsid w:val="009855CA"/>
    <w:rsid w:val="00990F07"/>
    <w:rsid w:val="009932D0"/>
    <w:rsid w:val="00996DA3"/>
    <w:rsid w:val="009B0A61"/>
    <w:rsid w:val="009B109A"/>
    <w:rsid w:val="009B4531"/>
    <w:rsid w:val="009B5F75"/>
    <w:rsid w:val="009B6519"/>
    <w:rsid w:val="009B6C65"/>
    <w:rsid w:val="009B7836"/>
    <w:rsid w:val="009C164A"/>
    <w:rsid w:val="009D0A18"/>
    <w:rsid w:val="009D17E4"/>
    <w:rsid w:val="009D5A93"/>
    <w:rsid w:val="009D5BA5"/>
    <w:rsid w:val="009D64E2"/>
    <w:rsid w:val="009D6BF5"/>
    <w:rsid w:val="009E0276"/>
    <w:rsid w:val="009E25B6"/>
    <w:rsid w:val="009E2A29"/>
    <w:rsid w:val="009E5F33"/>
    <w:rsid w:val="009E6791"/>
    <w:rsid w:val="009E7510"/>
    <w:rsid w:val="009F02C1"/>
    <w:rsid w:val="009F0BD2"/>
    <w:rsid w:val="009F1452"/>
    <w:rsid w:val="009F1BF8"/>
    <w:rsid w:val="009F1C9C"/>
    <w:rsid w:val="009F250C"/>
    <w:rsid w:val="009F275E"/>
    <w:rsid w:val="009F434C"/>
    <w:rsid w:val="009F7D34"/>
    <w:rsid w:val="00A00E7B"/>
    <w:rsid w:val="00A02520"/>
    <w:rsid w:val="00A02BAA"/>
    <w:rsid w:val="00A107BD"/>
    <w:rsid w:val="00A10D56"/>
    <w:rsid w:val="00A1218E"/>
    <w:rsid w:val="00A12C39"/>
    <w:rsid w:val="00A13A13"/>
    <w:rsid w:val="00A15326"/>
    <w:rsid w:val="00A16CEC"/>
    <w:rsid w:val="00A26C91"/>
    <w:rsid w:val="00A26E9C"/>
    <w:rsid w:val="00A318E2"/>
    <w:rsid w:val="00A33F58"/>
    <w:rsid w:val="00A36055"/>
    <w:rsid w:val="00A40BC8"/>
    <w:rsid w:val="00A4369D"/>
    <w:rsid w:val="00A43B19"/>
    <w:rsid w:val="00A4472E"/>
    <w:rsid w:val="00A46D31"/>
    <w:rsid w:val="00A47EA4"/>
    <w:rsid w:val="00A503E5"/>
    <w:rsid w:val="00A509FD"/>
    <w:rsid w:val="00A53F03"/>
    <w:rsid w:val="00A53FF0"/>
    <w:rsid w:val="00A54456"/>
    <w:rsid w:val="00A5471E"/>
    <w:rsid w:val="00A551D7"/>
    <w:rsid w:val="00A55B27"/>
    <w:rsid w:val="00A55BDA"/>
    <w:rsid w:val="00A60C43"/>
    <w:rsid w:val="00A64596"/>
    <w:rsid w:val="00A67BE2"/>
    <w:rsid w:val="00A74820"/>
    <w:rsid w:val="00A76E41"/>
    <w:rsid w:val="00A776BC"/>
    <w:rsid w:val="00A8105F"/>
    <w:rsid w:val="00A81465"/>
    <w:rsid w:val="00A833A7"/>
    <w:rsid w:val="00A86AB0"/>
    <w:rsid w:val="00A87262"/>
    <w:rsid w:val="00A90F79"/>
    <w:rsid w:val="00A93929"/>
    <w:rsid w:val="00A9509B"/>
    <w:rsid w:val="00A963E4"/>
    <w:rsid w:val="00A97C90"/>
    <w:rsid w:val="00AA15A6"/>
    <w:rsid w:val="00AA182F"/>
    <w:rsid w:val="00AA3F58"/>
    <w:rsid w:val="00AA4870"/>
    <w:rsid w:val="00AA6B5D"/>
    <w:rsid w:val="00AB1D83"/>
    <w:rsid w:val="00AB5668"/>
    <w:rsid w:val="00AB587E"/>
    <w:rsid w:val="00AB6697"/>
    <w:rsid w:val="00AC0CA3"/>
    <w:rsid w:val="00AC24D8"/>
    <w:rsid w:val="00AC2F0E"/>
    <w:rsid w:val="00AC6B22"/>
    <w:rsid w:val="00AD13AD"/>
    <w:rsid w:val="00AE08D3"/>
    <w:rsid w:val="00AE225B"/>
    <w:rsid w:val="00AE46A4"/>
    <w:rsid w:val="00AE535D"/>
    <w:rsid w:val="00AE69CE"/>
    <w:rsid w:val="00AF08E9"/>
    <w:rsid w:val="00AF0B26"/>
    <w:rsid w:val="00AF2165"/>
    <w:rsid w:val="00AF6826"/>
    <w:rsid w:val="00B00877"/>
    <w:rsid w:val="00B02697"/>
    <w:rsid w:val="00B0719C"/>
    <w:rsid w:val="00B14CC8"/>
    <w:rsid w:val="00B17240"/>
    <w:rsid w:val="00B234C1"/>
    <w:rsid w:val="00B248CE"/>
    <w:rsid w:val="00B24E37"/>
    <w:rsid w:val="00B25020"/>
    <w:rsid w:val="00B256C8"/>
    <w:rsid w:val="00B256F6"/>
    <w:rsid w:val="00B272EE"/>
    <w:rsid w:val="00B302A1"/>
    <w:rsid w:val="00B31FCC"/>
    <w:rsid w:val="00B3557A"/>
    <w:rsid w:val="00B3740D"/>
    <w:rsid w:val="00B3776F"/>
    <w:rsid w:val="00B418AB"/>
    <w:rsid w:val="00B41ACE"/>
    <w:rsid w:val="00B4291F"/>
    <w:rsid w:val="00B42B7C"/>
    <w:rsid w:val="00B42F55"/>
    <w:rsid w:val="00B46CA3"/>
    <w:rsid w:val="00B5591E"/>
    <w:rsid w:val="00B565C7"/>
    <w:rsid w:val="00B56F47"/>
    <w:rsid w:val="00B608C5"/>
    <w:rsid w:val="00B61CEF"/>
    <w:rsid w:val="00B657D7"/>
    <w:rsid w:val="00B659E9"/>
    <w:rsid w:val="00B677D1"/>
    <w:rsid w:val="00B7130A"/>
    <w:rsid w:val="00B71CA8"/>
    <w:rsid w:val="00B753C1"/>
    <w:rsid w:val="00B82CCF"/>
    <w:rsid w:val="00B83052"/>
    <w:rsid w:val="00B8677C"/>
    <w:rsid w:val="00B90FC3"/>
    <w:rsid w:val="00B92387"/>
    <w:rsid w:val="00B9395A"/>
    <w:rsid w:val="00B93A38"/>
    <w:rsid w:val="00B95280"/>
    <w:rsid w:val="00B9638C"/>
    <w:rsid w:val="00BA5133"/>
    <w:rsid w:val="00BA5885"/>
    <w:rsid w:val="00BA59F6"/>
    <w:rsid w:val="00BA6774"/>
    <w:rsid w:val="00BB0763"/>
    <w:rsid w:val="00BB0E01"/>
    <w:rsid w:val="00BB1CB2"/>
    <w:rsid w:val="00BB21F1"/>
    <w:rsid w:val="00BB4264"/>
    <w:rsid w:val="00BB4B2D"/>
    <w:rsid w:val="00BB6099"/>
    <w:rsid w:val="00BB6BDE"/>
    <w:rsid w:val="00BB702A"/>
    <w:rsid w:val="00BC0FBE"/>
    <w:rsid w:val="00BC1D98"/>
    <w:rsid w:val="00BC3F50"/>
    <w:rsid w:val="00BD324F"/>
    <w:rsid w:val="00BD3603"/>
    <w:rsid w:val="00BD702A"/>
    <w:rsid w:val="00BE0161"/>
    <w:rsid w:val="00BE1766"/>
    <w:rsid w:val="00BE3275"/>
    <w:rsid w:val="00BE36C6"/>
    <w:rsid w:val="00BE5F84"/>
    <w:rsid w:val="00BF0DFB"/>
    <w:rsid w:val="00BF14CF"/>
    <w:rsid w:val="00BF48F2"/>
    <w:rsid w:val="00BF648F"/>
    <w:rsid w:val="00C00A12"/>
    <w:rsid w:val="00C01354"/>
    <w:rsid w:val="00C02E08"/>
    <w:rsid w:val="00C04FEC"/>
    <w:rsid w:val="00C05052"/>
    <w:rsid w:val="00C0544C"/>
    <w:rsid w:val="00C064AA"/>
    <w:rsid w:val="00C10643"/>
    <w:rsid w:val="00C15609"/>
    <w:rsid w:val="00C16EAB"/>
    <w:rsid w:val="00C23757"/>
    <w:rsid w:val="00C2432E"/>
    <w:rsid w:val="00C25332"/>
    <w:rsid w:val="00C25933"/>
    <w:rsid w:val="00C27C2B"/>
    <w:rsid w:val="00C32F04"/>
    <w:rsid w:val="00C3318C"/>
    <w:rsid w:val="00C34F6D"/>
    <w:rsid w:val="00C3720A"/>
    <w:rsid w:val="00C41DCA"/>
    <w:rsid w:val="00C45720"/>
    <w:rsid w:val="00C51934"/>
    <w:rsid w:val="00C549B2"/>
    <w:rsid w:val="00C55715"/>
    <w:rsid w:val="00C56FA8"/>
    <w:rsid w:val="00C61C00"/>
    <w:rsid w:val="00C62802"/>
    <w:rsid w:val="00C6346F"/>
    <w:rsid w:val="00C73DB2"/>
    <w:rsid w:val="00C75067"/>
    <w:rsid w:val="00C802CF"/>
    <w:rsid w:val="00C830BD"/>
    <w:rsid w:val="00C84E19"/>
    <w:rsid w:val="00C85194"/>
    <w:rsid w:val="00C95F53"/>
    <w:rsid w:val="00C97F3E"/>
    <w:rsid w:val="00CA00FB"/>
    <w:rsid w:val="00CA0715"/>
    <w:rsid w:val="00CA11BC"/>
    <w:rsid w:val="00CA1CD2"/>
    <w:rsid w:val="00CA39D0"/>
    <w:rsid w:val="00CA48E6"/>
    <w:rsid w:val="00CA4E7E"/>
    <w:rsid w:val="00CA67C6"/>
    <w:rsid w:val="00CB14B8"/>
    <w:rsid w:val="00CB262F"/>
    <w:rsid w:val="00CB39DC"/>
    <w:rsid w:val="00CB4939"/>
    <w:rsid w:val="00CB5977"/>
    <w:rsid w:val="00CB5E07"/>
    <w:rsid w:val="00CB5FDB"/>
    <w:rsid w:val="00CC36CA"/>
    <w:rsid w:val="00CC6EF3"/>
    <w:rsid w:val="00CC7A2E"/>
    <w:rsid w:val="00CC7AEB"/>
    <w:rsid w:val="00CD27CB"/>
    <w:rsid w:val="00CD478B"/>
    <w:rsid w:val="00CD6BE5"/>
    <w:rsid w:val="00CD77F5"/>
    <w:rsid w:val="00CD7CD7"/>
    <w:rsid w:val="00CD7DD7"/>
    <w:rsid w:val="00CE0245"/>
    <w:rsid w:val="00CE47BF"/>
    <w:rsid w:val="00CE76D0"/>
    <w:rsid w:val="00CF43D3"/>
    <w:rsid w:val="00CF4997"/>
    <w:rsid w:val="00CF7256"/>
    <w:rsid w:val="00CF75BB"/>
    <w:rsid w:val="00D03579"/>
    <w:rsid w:val="00D04FCE"/>
    <w:rsid w:val="00D11D9E"/>
    <w:rsid w:val="00D13247"/>
    <w:rsid w:val="00D1341B"/>
    <w:rsid w:val="00D13E31"/>
    <w:rsid w:val="00D16614"/>
    <w:rsid w:val="00D2127E"/>
    <w:rsid w:val="00D228D1"/>
    <w:rsid w:val="00D22DFA"/>
    <w:rsid w:val="00D24B8C"/>
    <w:rsid w:val="00D26AA8"/>
    <w:rsid w:val="00D27019"/>
    <w:rsid w:val="00D315DA"/>
    <w:rsid w:val="00D3317F"/>
    <w:rsid w:val="00D360BE"/>
    <w:rsid w:val="00D40BC5"/>
    <w:rsid w:val="00D40F06"/>
    <w:rsid w:val="00D44057"/>
    <w:rsid w:val="00D44B67"/>
    <w:rsid w:val="00D44E81"/>
    <w:rsid w:val="00D4599E"/>
    <w:rsid w:val="00D47576"/>
    <w:rsid w:val="00D479E8"/>
    <w:rsid w:val="00D542F2"/>
    <w:rsid w:val="00D5493C"/>
    <w:rsid w:val="00D56F9B"/>
    <w:rsid w:val="00D61162"/>
    <w:rsid w:val="00D61BD1"/>
    <w:rsid w:val="00D631BE"/>
    <w:rsid w:val="00D635C4"/>
    <w:rsid w:val="00D65D0C"/>
    <w:rsid w:val="00D66AE2"/>
    <w:rsid w:val="00D66B0F"/>
    <w:rsid w:val="00D671EA"/>
    <w:rsid w:val="00D72C3B"/>
    <w:rsid w:val="00D74180"/>
    <w:rsid w:val="00D744B4"/>
    <w:rsid w:val="00D7549F"/>
    <w:rsid w:val="00D77416"/>
    <w:rsid w:val="00D774D4"/>
    <w:rsid w:val="00D7757D"/>
    <w:rsid w:val="00D8023F"/>
    <w:rsid w:val="00D80950"/>
    <w:rsid w:val="00D8348B"/>
    <w:rsid w:val="00D868F2"/>
    <w:rsid w:val="00D86FDE"/>
    <w:rsid w:val="00D8757C"/>
    <w:rsid w:val="00D908D3"/>
    <w:rsid w:val="00D90C19"/>
    <w:rsid w:val="00D91C36"/>
    <w:rsid w:val="00D94AE6"/>
    <w:rsid w:val="00D94BB9"/>
    <w:rsid w:val="00D95048"/>
    <w:rsid w:val="00DA1AE4"/>
    <w:rsid w:val="00DA283C"/>
    <w:rsid w:val="00DA437B"/>
    <w:rsid w:val="00DA78D7"/>
    <w:rsid w:val="00DB0831"/>
    <w:rsid w:val="00DB1859"/>
    <w:rsid w:val="00DB1D37"/>
    <w:rsid w:val="00DB3A56"/>
    <w:rsid w:val="00DB6FE7"/>
    <w:rsid w:val="00DC1D00"/>
    <w:rsid w:val="00DC2A9F"/>
    <w:rsid w:val="00DC552D"/>
    <w:rsid w:val="00DC7B47"/>
    <w:rsid w:val="00DD1A5C"/>
    <w:rsid w:val="00DD1F41"/>
    <w:rsid w:val="00DD34E5"/>
    <w:rsid w:val="00DD3639"/>
    <w:rsid w:val="00DD4360"/>
    <w:rsid w:val="00DD6DD7"/>
    <w:rsid w:val="00DD6FD2"/>
    <w:rsid w:val="00DE1373"/>
    <w:rsid w:val="00DE21B5"/>
    <w:rsid w:val="00DE2EF0"/>
    <w:rsid w:val="00DE5A74"/>
    <w:rsid w:val="00DF0EBB"/>
    <w:rsid w:val="00DF22C3"/>
    <w:rsid w:val="00DF298C"/>
    <w:rsid w:val="00DF40A0"/>
    <w:rsid w:val="00DF4135"/>
    <w:rsid w:val="00DF5A45"/>
    <w:rsid w:val="00DF6369"/>
    <w:rsid w:val="00DF693A"/>
    <w:rsid w:val="00E0259E"/>
    <w:rsid w:val="00E0287C"/>
    <w:rsid w:val="00E0318A"/>
    <w:rsid w:val="00E04CC3"/>
    <w:rsid w:val="00E1000C"/>
    <w:rsid w:val="00E10BFF"/>
    <w:rsid w:val="00E1186D"/>
    <w:rsid w:val="00E1484A"/>
    <w:rsid w:val="00E152C9"/>
    <w:rsid w:val="00E2020D"/>
    <w:rsid w:val="00E21A06"/>
    <w:rsid w:val="00E2576F"/>
    <w:rsid w:val="00E30197"/>
    <w:rsid w:val="00E30704"/>
    <w:rsid w:val="00E30B21"/>
    <w:rsid w:val="00E344E1"/>
    <w:rsid w:val="00E34784"/>
    <w:rsid w:val="00E42B97"/>
    <w:rsid w:val="00E46AF8"/>
    <w:rsid w:val="00E5409A"/>
    <w:rsid w:val="00E5458F"/>
    <w:rsid w:val="00E61333"/>
    <w:rsid w:val="00E6159D"/>
    <w:rsid w:val="00E62805"/>
    <w:rsid w:val="00E67AB7"/>
    <w:rsid w:val="00E743FC"/>
    <w:rsid w:val="00E760DC"/>
    <w:rsid w:val="00E772BA"/>
    <w:rsid w:val="00E80BCE"/>
    <w:rsid w:val="00E80EFF"/>
    <w:rsid w:val="00E81CF1"/>
    <w:rsid w:val="00E82532"/>
    <w:rsid w:val="00E855FA"/>
    <w:rsid w:val="00E85BD7"/>
    <w:rsid w:val="00E85F4F"/>
    <w:rsid w:val="00E87612"/>
    <w:rsid w:val="00E905AE"/>
    <w:rsid w:val="00E92ACD"/>
    <w:rsid w:val="00E974A2"/>
    <w:rsid w:val="00EA0415"/>
    <w:rsid w:val="00EA5AB5"/>
    <w:rsid w:val="00EA5D6A"/>
    <w:rsid w:val="00EA6950"/>
    <w:rsid w:val="00EB57E9"/>
    <w:rsid w:val="00EC05E9"/>
    <w:rsid w:val="00EC2A61"/>
    <w:rsid w:val="00EC2D7F"/>
    <w:rsid w:val="00EC614F"/>
    <w:rsid w:val="00EC6556"/>
    <w:rsid w:val="00ED1FD7"/>
    <w:rsid w:val="00ED3275"/>
    <w:rsid w:val="00ED3A25"/>
    <w:rsid w:val="00ED5234"/>
    <w:rsid w:val="00ED5C41"/>
    <w:rsid w:val="00EE1152"/>
    <w:rsid w:val="00EE2474"/>
    <w:rsid w:val="00EF28C5"/>
    <w:rsid w:val="00EF324E"/>
    <w:rsid w:val="00EF349C"/>
    <w:rsid w:val="00EF39B2"/>
    <w:rsid w:val="00EF39ED"/>
    <w:rsid w:val="00F021CF"/>
    <w:rsid w:val="00F05B0F"/>
    <w:rsid w:val="00F12BB0"/>
    <w:rsid w:val="00F13DE3"/>
    <w:rsid w:val="00F13E79"/>
    <w:rsid w:val="00F16AF2"/>
    <w:rsid w:val="00F17BAE"/>
    <w:rsid w:val="00F2001D"/>
    <w:rsid w:val="00F20029"/>
    <w:rsid w:val="00F2201F"/>
    <w:rsid w:val="00F23852"/>
    <w:rsid w:val="00F24D86"/>
    <w:rsid w:val="00F318B8"/>
    <w:rsid w:val="00F323B7"/>
    <w:rsid w:val="00F33B15"/>
    <w:rsid w:val="00F341B8"/>
    <w:rsid w:val="00F417A3"/>
    <w:rsid w:val="00F42B7E"/>
    <w:rsid w:val="00F42C82"/>
    <w:rsid w:val="00F42EDB"/>
    <w:rsid w:val="00F44275"/>
    <w:rsid w:val="00F46C0C"/>
    <w:rsid w:val="00F5064E"/>
    <w:rsid w:val="00F55B72"/>
    <w:rsid w:val="00F6056C"/>
    <w:rsid w:val="00F60CB5"/>
    <w:rsid w:val="00F61581"/>
    <w:rsid w:val="00F62E7F"/>
    <w:rsid w:val="00F63BB9"/>
    <w:rsid w:val="00F658B9"/>
    <w:rsid w:val="00F67DBB"/>
    <w:rsid w:val="00F700AA"/>
    <w:rsid w:val="00F718B0"/>
    <w:rsid w:val="00F73A71"/>
    <w:rsid w:val="00F77D48"/>
    <w:rsid w:val="00F8293E"/>
    <w:rsid w:val="00F82BD4"/>
    <w:rsid w:val="00F84C94"/>
    <w:rsid w:val="00F90BB6"/>
    <w:rsid w:val="00F915D1"/>
    <w:rsid w:val="00F91939"/>
    <w:rsid w:val="00F93E86"/>
    <w:rsid w:val="00F9576D"/>
    <w:rsid w:val="00F95F0C"/>
    <w:rsid w:val="00F9732F"/>
    <w:rsid w:val="00FA0E7F"/>
    <w:rsid w:val="00FA3548"/>
    <w:rsid w:val="00FA4B38"/>
    <w:rsid w:val="00FA50EB"/>
    <w:rsid w:val="00FA6DC0"/>
    <w:rsid w:val="00FA7EB1"/>
    <w:rsid w:val="00FB1CEC"/>
    <w:rsid w:val="00FB419B"/>
    <w:rsid w:val="00FB46DC"/>
    <w:rsid w:val="00FB6F9F"/>
    <w:rsid w:val="00FB7A48"/>
    <w:rsid w:val="00FC12FE"/>
    <w:rsid w:val="00FC1489"/>
    <w:rsid w:val="00FC3441"/>
    <w:rsid w:val="00FD1ED3"/>
    <w:rsid w:val="00FD6C28"/>
    <w:rsid w:val="00FE1287"/>
    <w:rsid w:val="00FE310B"/>
    <w:rsid w:val="00FE39B9"/>
    <w:rsid w:val="00FE6AD7"/>
    <w:rsid w:val="00FF1BA9"/>
    <w:rsid w:val="00FF5290"/>
    <w:rsid w:val="00FF60DC"/>
    <w:rsid w:val="019C3A88"/>
    <w:rsid w:val="02287D7E"/>
    <w:rsid w:val="030E6553"/>
    <w:rsid w:val="03960557"/>
    <w:rsid w:val="03C84930"/>
    <w:rsid w:val="03DF7E09"/>
    <w:rsid w:val="03E67E90"/>
    <w:rsid w:val="043613A4"/>
    <w:rsid w:val="04615143"/>
    <w:rsid w:val="04754202"/>
    <w:rsid w:val="048320BB"/>
    <w:rsid w:val="04B563C2"/>
    <w:rsid w:val="05531A54"/>
    <w:rsid w:val="05E53AA2"/>
    <w:rsid w:val="05F92C68"/>
    <w:rsid w:val="0620235A"/>
    <w:rsid w:val="06571B7A"/>
    <w:rsid w:val="06B10ACD"/>
    <w:rsid w:val="06C25923"/>
    <w:rsid w:val="071D11C9"/>
    <w:rsid w:val="077111CE"/>
    <w:rsid w:val="0772575A"/>
    <w:rsid w:val="07DA3A8F"/>
    <w:rsid w:val="08316975"/>
    <w:rsid w:val="089D7C92"/>
    <w:rsid w:val="09C92DD3"/>
    <w:rsid w:val="09CF6E4B"/>
    <w:rsid w:val="0AB4609E"/>
    <w:rsid w:val="0ADE415D"/>
    <w:rsid w:val="0BD554C2"/>
    <w:rsid w:val="0C63073D"/>
    <w:rsid w:val="0C7318E1"/>
    <w:rsid w:val="0CCF6888"/>
    <w:rsid w:val="0D0C188A"/>
    <w:rsid w:val="0DD71E98"/>
    <w:rsid w:val="0E43752E"/>
    <w:rsid w:val="0F121EF0"/>
    <w:rsid w:val="101038B6"/>
    <w:rsid w:val="10196798"/>
    <w:rsid w:val="11304CEB"/>
    <w:rsid w:val="11674665"/>
    <w:rsid w:val="118916FB"/>
    <w:rsid w:val="11AF4DCB"/>
    <w:rsid w:val="11CB238C"/>
    <w:rsid w:val="11DF1890"/>
    <w:rsid w:val="125C08EE"/>
    <w:rsid w:val="126A6425"/>
    <w:rsid w:val="127E6D86"/>
    <w:rsid w:val="12955111"/>
    <w:rsid w:val="12B427A8"/>
    <w:rsid w:val="12CC6E6D"/>
    <w:rsid w:val="13806E42"/>
    <w:rsid w:val="140E7482"/>
    <w:rsid w:val="1440520B"/>
    <w:rsid w:val="14654E7D"/>
    <w:rsid w:val="14737EE6"/>
    <w:rsid w:val="149063EC"/>
    <w:rsid w:val="151A0368"/>
    <w:rsid w:val="171071EA"/>
    <w:rsid w:val="174F62D6"/>
    <w:rsid w:val="17EE77F0"/>
    <w:rsid w:val="180F7034"/>
    <w:rsid w:val="183A0A1F"/>
    <w:rsid w:val="187A1D9E"/>
    <w:rsid w:val="18D56A9E"/>
    <w:rsid w:val="19006747"/>
    <w:rsid w:val="190525BE"/>
    <w:rsid w:val="198C1D89"/>
    <w:rsid w:val="19B107FB"/>
    <w:rsid w:val="19C23937"/>
    <w:rsid w:val="1A342318"/>
    <w:rsid w:val="1A9E3268"/>
    <w:rsid w:val="1AC87A2D"/>
    <w:rsid w:val="1B74013C"/>
    <w:rsid w:val="1BCA1848"/>
    <w:rsid w:val="1C762227"/>
    <w:rsid w:val="1CDC3027"/>
    <w:rsid w:val="1CFA34AD"/>
    <w:rsid w:val="1D9F120E"/>
    <w:rsid w:val="1E0D2BED"/>
    <w:rsid w:val="1E591AD6"/>
    <w:rsid w:val="1E7B37A5"/>
    <w:rsid w:val="1EA44D1C"/>
    <w:rsid w:val="1EB0258C"/>
    <w:rsid w:val="1ECD2D49"/>
    <w:rsid w:val="1F14499E"/>
    <w:rsid w:val="1F5B26C7"/>
    <w:rsid w:val="1F5C044F"/>
    <w:rsid w:val="1FF450C0"/>
    <w:rsid w:val="203A4DF7"/>
    <w:rsid w:val="20793160"/>
    <w:rsid w:val="21430A11"/>
    <w:rsid w:val="215A4BDB"/>
    <w:rsid w:val="21962D82"/>
    <w:rsid w:val="219D221A"/>
    <w:rsid w:val="21AB33D9"/>
    <w:rsid w:val="223A41F0"/>
    <w:rsid w:val="224109E7"/>
    <w:rsid w:val="224F2695"/>
    <w:rsid w:val="22CA56D0"/>
    <w:rsid w:val="22EB689E"/>
    <w:rsid w:val="235E2371"/>
    <w:rsid w:val="248F38ED"/>
    <w:rsid w:val="249C2E00"/>
    <w:rsid w:val="24B147FA"/>
    <w:rsid w:val="251F5A1E"/>
    <w:rsid w:val="274160AD"/>
    <w:rsid w:val="27F62AEE"/>
    <w:rsid w:val="283223CC"/>
    <w:rsid w:val="2866365B"/>
    <w:rsid w:val="28E50C7F"/>
    <w:rsid w:val="28EB2659"/>
    <w:rsid w:val="28EC345C"/>
    <w:rsid w:val="29202FD3"/>
    <w:rsid w:val="2A44220C"/>
    <w:rsid w:val="2AB14810"/>
    <w:rsid w:val="2AD3072D"/>
    <w:rsid w:val="2B6C7C6C"/>
    <w:rsid w:val="2BDD6474"/>
    <w:rsid w:val="2C0B54C5"/>
    <w:rsid w:val="2C292017"/>
    <w:rsid w:val="2CAC4BA2"/>
    <w:rsid w:val="2CB35C78"/>
    <w:rsid w:val="2CF23FA9"/>
    <w:rsid w:val="2CF40890"/>
    <w:rsid w:val="2D1719A4"/>
    <w:rsid w:val="2DDE509E"/>
    <w:rsid w:val="2F204A26"/>
    <w:rsid w:val="2F3045A4"/>
    <w:rsid w:val="2F567AA0"/>
    <w:rsid w:val="301645BB"/>
    <w:rsid w:val="30302844"/>
    <w:rsid w:val="30654C8A"/>
    <w:rsid w:val="309F5392"/>
    <w:rsid w:val="30B4367E"/>
    <w:rsid w:val="3161171F"/>
    <w:rsid w:val="319A28B2"/>
    <w:rsid w:val="3276083D"/>
    <w:rsid w:val="329A3661"/>
    <w:rsid w:val="32D16C5C"/>
    <w:rsid w:val="339B19D0"/>
    <w:rsid w:val="33EE2317"/>
    <w:rsid w:val="3508551A"/>
    <w:rsid w:val="359C0F7A"/>
    <w:rsid w:val="35E113E3"/>
    <w:rsid w:val="370B120F"/>
    <w:rsid w:val="37776170"/>
    <w:rsid w:val="37781747"/>
    <w:rsid w:val="37847CCD"/>
    <w:rsid w:val="378B37C3"/>
    <w:rsid w:val="37CD2E49"/>
    <w:rsid w:val="381C1DAF"/>
    <w:rsid w:val="382B35B4"/>
    <w:rsid w:val="3941563D"/>
    <w:rsid w:val="394B63B6"/>
    <w:rsid w:val="3A6A7ABC"/>
    <w:rsid w:val="3AA34D2C"/>
    <w:rsid w:val="3AE332B3"/>
    <w:rsid w:val="3B071D45"/>
    <w:rsid w:val="3BB54959"/>
    <w:rsid w:val="3C8C247C"/>
    <w:rsid w:val="3D0247D6"/>
    <w:rsid w:val="3D514278"/>
    <w:rsid w:val="3D65545B"/>
    <w:rsid w:val="3DFB2CDF"/>
    <w:rsid w:val="3E7C6D69"/>
    <w:rsid w:val="3EB83A8B"/>
    <w:rsid w:val="3EE51A3E"/>
    <w:rsid w:val="3F4D512E"/>
    <w:rsid w:val="3FA119B7"/>
    <w:rsid w:val="40177DE3"/>
    <w:rsid w:val="407A192C"/>
    <w:rsid w:val="417A1877"/>
    <w:rsid w:val="4186089B"/>
    <w:rsid w:val="42654E02"/>
    <w:rsid w:val="427C0258"/>
    <w:rsid w:val="42EF614C"/>
    <w:rsid w:val="432253DD"/>
    <w:rsid w:val="43863DDA"/>
    <w:rsid w:val="43D011EA"/>
    <w:rsid w:val="441477C8"/>
    <w:rsid w:val="444939F2"/>
    <w:rsid w:val="44557E80"/>
    <w:rsid w:val="4473408E"/>
    <w:rsid w:val="45551365"/>
    <w:rsid w:val="45CD7101"/>
    <w:rsid w:val="46484442"/>
    <w:rsid w:val="474119A1"/>
    <w:rsid w:val="476F66C2"/>
    <w:rsid w:val="47B01446"/>
    <w:rsid w:val="47CC27EE"/>
    <w:rsid w:val="480C3F11"/>
    <w:rsid w:val="482809DA"/>
    <w:rsid w:val="491E1806"/>
    <w:rsid w:val="496B47B7"/>
    <w:rsid w:val="4A0B7731"/>
    <w:rsid w:val="4A9A751F"/>
    <w:rsid w:val="4AB8212E"/>
    <w:rsid w:val="4AC05A5A"/>
    <w:rsid w:val="4AE10089"/>
    <w:rsid w:val="4B022328"/>
    <w:rsid w:val="4B384AFB"/>
    <w:rsid w:val="4B3A3DE4"/>
    <w:rsid w:val="4B6217B9"/>
    <w:rsid w:val="4B701FD3"/>
    <w:rsid w:val="4B77032C"/>
    <w:rsid w:val="4BCA4DC2"/>
    <w:rsid w:val="4BD125AC"/>
    <w:rsid w:val="4BD340D8"/>
    <w:rsid w:val="4C360546"/>
    <w:rsid w:val="4CFF75D5"/>
    <w:rsid w:val="4DAE5F5E"/>
    <w:rsid w:val="4E6B5729"/>
    <w:rsid w:val="4EA404FD"/>
    <w:rsid w:val="4FA56487"/>
    <w:rsid w:val="4FC44EDC"/>
    <w:rsid w:val="4FF051A0"/>
    <w:rsid w:val="50141FA4"/>
    <w:rsid w:val="507506FE"/>
    <w:rsid w:val="50D954C3"/>
    <w:rsid w:val="50FE2791"/>
    <w:rsid w:val="51752B27"/>
    <w:rsid w:val="52C12FB4"/>
    <w:rsid w:val="53307DE8"/>
    <w:rsid w:val="535B5D4C"/>
    <w:rsid w:val="53866EE0"/>
    <w:rsid w:val="538F587F"/>
    <w:rsid w:val="544E2FF3"/>
    <w:rsid w:val="54791DE5"/>
    <w:rsid w:val="55D63612"/>
    <w:rsid w:val="56231F4E"/>
    <w:rsid w:val="56C113D0"/>
    <w:rsid w:val="56CB143B"/>
    <w:rsid w:val="57E05BE1"/>
    <w:rsid w:val="58346A24"/>
    <w:rsid w:val="58F72073"/>
    <w:rsid w:val="59464DA9"/>
    <w:rsid w:val="59654F1B"/>
    <w:rsid w:val="59F82547"/>
    <w:rsid w:val="5A8E6B50"/>
    <w:rsid w:val="5AD55C4B"/>
    <w:rsid w:val="5B526E3B"/>
    <w:rsid w:val="5D176670"/>
    <w:rsid w:val="5DB42246"/>
    <w:rsid w:val="5DBC1ADE"/>
    <w:rsid w:val="5E0D2C7D"/>
    <w:rsid w:val="5E2C755E"/>
    <w:rsid w:val="5E4A6AF2"/>
    <w:rsid w:val="5E4E3F0B"/>
    <w:rsid w:val="5EFB5FCF"/>
    <w:rsid w:val="5F185E67"/>
    <w:rsid w:val="5F504E26"/>
    <w:rsid w:val="5F912EFC"/>
    <w:rsid w:val="5FA752A4"/>
    <w:rsid w:val="60032F94"/>
    <w:rsid w:val="60532394"/>
    <w:rsid w:val="605C4EB2"/>
    <w:rsid w:val="609346F9"/>
    <w:rsid w:val="60976762"/>
    <w:rsid w:val="60DE3FB1"/>
    <w:rsid w:val="60E87DCD"/>
    <w:rsid w:val="615674ED"/>
    <w:rsid w:val="62202150"/>
    <w:rsid w:val="62255EA3"/>
    <w:rsid w:val="6238327D"/>
    <w:rsid w:val="635001EF"/>
    <w:rsid w:val="637048DB"/>
    <w:rsid w:val="63D0272B"/>
    <w:rsid w:val="64834717"/>
    <w:rsid w:val="64AA146F"/>
    <w:rsid w:val="64F629E2"/>
    <w:rsid w:val="650B1EAB"/>
    <w:rsid w:val="65335497"/>
    <w:rsid w:val="65431800"/>
    <w:rsid w:val="659956F1"/>
    <w:rsid w:val="65D76172"/>
    <w:rsid w:val="66C77325"/>
    <w:rsid w:val="66CE3288"/>
    <w:rsid w:val="678673E4"/>
    <w:rsid w:val="68931D4F"/>
    <w:rsid w:val="68996CA3"/>
    <w:rsid w:val="68C6406F"/>
    <w:rsid w:val="6A1638AD"/>
    <w:rsid w:val="6A3944D6"/>
    <w:rsid w:val="6A411797"/>
    <w:rsid w:val="6AA57CB8"/>
    <w:rsid w:val="6B4551DF"/>
    <w:rsid w:val="6B9E2823"/>
    <w:rsid w:val="6BC935EB"/>
    <w:rsid w:val="6C1D59BA"/>
    <w:rsid w:val="6C992C34"/>
    <w:rsid w:val="6CA95923"/>
    <w:rsid w:val="6CDF45CD"/>
    <w:rsid w:val="6D7418A4"/>
    <w:rsid w:val="6D756958"/>
    <w:rsid w:val="6DD34965"/>
    <w:rsid w:val="6E3B0A20"/>
    <w:rsid w:val="6EBE37CC"/>
    <w:rsid w:val="70227EC6"/>
    <w:rsid w:val="71035C45"/>
    <w:rsid w:val="718323E3"/>
    <w:rsid w:val="718B3849"/>
    <w:rsid w:val="719A58E8"/>
    <w:rsid w:val="72E90ED3"/>
    <w:rsid w:val="73663647"/>
    <w:rsid w:val="7377015A"/>
    <w:rsid w:val="73966C01"/>
    <w:rsid w:val="739D2BFF"/>
    <w:rsid w:val="73B77D0C"/>
    <w:rsid w:val="73C37269"/>
    <w:rsid w:val="74027DBB"/>
    <w:rsid w:val="752419D7"/>
    <w:rsid w:val="7526130E"/>
    <w:rsid w:val="75A62E64"/>
    <w:rsid w:val="75B4228D"/>
    <w:rsid w:val="75BB53FD"/>
    <w:rsid w:val="75E96582"/>
    <w:rsid w:val="76470CAA"/>
    <w:rsid w:val="764D1082"/>
    <w:rsid w:val="766F2799"/>
    <w:rsid w:val="76FC63AD"/>
    <w:rsid w:val="772C5186"/>
    <w:rsid w:val="773B6256"/>
    <w:rsid w:val="774C0D1D"/>
    <w:rsid w:val="776D5ECB"/>
    <w:rsid w:val="780B7492"/>
    <w:rsid w:val="792C0FD8"/>
    <w:rsid w:val="7A3C0663"/>
    <w:rsid w:val="7AC758F2"/>
    <w:rsid w:val="7D07233B"/>
    <w:rsid w:val="7D1B6488"/>
    <w:rsid w:val="7D40391F"/>
    <w:rsid w:val="7D8FAFBA"/>
    <w:rsid w:val="7DF96BCA"/>
    <w:rsid w:val="7E1251F4"/>
    <w:rsid w:val="7E1C2E5A"/>
    <w:rsid w:val="7E6416AA"/>
    <w:rsid w:val="7EE66F59"/>
    <w:rsid w:val="7F1A6E76"/>
    <w:rsid w:val="7F1F783D"/>
    <w:rsid w:val="7FAF3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1" w:semiHidden="0" w:name="heading 3"/>
    <w:lsdException w:qFormat="1" w:uiPriority="1" w:semiHidden="0" w:name="heading 4"/>
    <w:lsdException w:qFormat="1"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Courier New" w:cs="Times New Roman"/>
      <w:kern w:val="2"/>
      <w:sz w:val="21"/>
      <w:szCs w:val="21"/>
      <w:lang w:val="en-US" w:eastAsia="zh-CN" w:bidi="ar-SA"/>
    </w:rPr>
  </w:style>
  <w:style w:type="paragraph" w:styleId="4">
    <w:name w:val="heading 1"/>
    <w:basedOn w:val="1"/>
    <w:next w:val="1"/>
    <w:qFormat/>
    <w:uiPriority w:val="1"/>
    <w:pPr>
      <w:keepNext/>
      <w:keepLines/>
      <w:spacing w:before="340" w:after="330" w:line="576" w:lineRule="auto"/>
      <w:outlineLvl w:val="0"/>
    </w:pPr>
    <w:rPr>
      <w:b/>
      <w:kern w:val="44"/>
      <w:sz w:val="44"/>
    </w:rPr>
  </w:style>
  <w:style w:type="paragraph" w:styleId="5">
    <w:name w:val="heading 2"/>
    <w:basedOn w:val="1"/>
    <w:next w:val="1"/>
    <w:link w:val="30"/>
    <w:qFormat/>
    <w:uiPriority w:val="1"/>
    <w:pPr>
      <w:keepNext/>
      <w:keepLines/>
      <w:adjustRightInd w:val="0"/>
      <w:snapToGrid w:val="0"/>
      <w:spacing w:before="260" w:after="260" w:line="416" w:lineRule="auto"/>
      <w:ind w:firstLine="600" w:firstLineChars="200"/>
      <w:outlineLvl w:val="1"/>
    </w:pPr>
    <w:rPr>
      <w:rFonts w:ascii="Arial" w:hAnsi="Arial" w:eastAsia="Symbol"/>
      <w:b/>
      <w:bCs/>
      <w:sz w:val="32"/>
      <w:szCs w:val="32"/>
    </w:rPr>
  </w:style>
  <w:style w:type="paragraph" w:styleId="6">
    <w:name w:val="heading 3"/>
    <w:basedOn w:val="1"/>
    <w:next w:val="1"/>
    <w:unhideWhenUsed/>
    <w:qFormat/>
    <w:uiPriority w:val="1"/>
    <w:pPr>
      <w:keepNext/>
      <w:keepLines/>
      <w:spacing w:before="260" w:after="260" w:line="413" w:lineRule="auto"/>
      <w:outlineLvl w:val="2"/>
    </w:pPr>
    <w:rPr>
      <w:b/>
      <w:sz w:val="32"/>
    </w:rPr>
  </w:style>
  <w:style w:type="paragraph" w:styleId="7">
    <w:name w:val="heading 4"/>
    <w:basedOn w:val="1"/>
    <w:next w:val="1"/>
    <w:link w:val="35"/>
    <w:unhideWhenUsed/>
    <w:qFormat/>
    <w:uiPriority w:val="1"/>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33"/>
    <w:unhideWhenUsed/>
    <w:qFormat/>
    <w:uiPriority w:val="1"/>
    <w:pPr>
      <w:keepNext/>
      <w:keepLines/>
      <w:spacing w:before="280" w:after="290" w:line="376" w:lineRule="auto"/>
      <w:outlineLvl w:val="4"/>
    </w:pPr>
    <w:rPr>
      <w:b/>
      <w:bCs/>
      <w:sz w:val="28"/>
      <w:szCs w:val="28"/>
    </w:rPr>
  </w:style>
  <w:style w:type="character" w:default="1" w:styleId="21">
    <w:name w:val="Default Paragraph Font"/>
    <w:unhideWhenUsed/>
    <w:qFormat/>
    <w:uiPriority w:val="1"/>
  </w:style>
  <w:style w:type="table" w:default="1" w:styleId="19">
    <w:name w:val="Normal Table"/>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pPr>
  </w:style>
  <w:style w:type="paragraph" w:styleId="3">
    <w:name w:val="Body Text Indent"/>
    <w:basedOn w:val="1"/>
    <w:qFormat/>
    <w:uiPriority w:val="0"/>
    <w:pPr>
      <w:spacing w:after="120"/>
      <w:ind w:left="420" w:leftChars="200"/>
      <w:jc w:val="left"/>
    </w:pPr>
    <w:rPr>
      <w:rFonts w:hint="eastAsia" w:ascii="宋体" w:hAnsi="宋体" w:eastAsia="宋体"/>
      <w:kern w:val="0"/>
      <w:sz w:val="24"/>
      <w:szCs w:val="24"/>
    </w:rPr>
  </w:style>
  <w:style w:type="paragraph" w:styleId="9">
    <w:name w:val="Normal Indent"/>
    <w:basedOn w:val="1"/>
    <w:next w:val="10"/>
    <w:qFormat/>
    <w:uiPriority w:val="0"/>
    <w:pPr>
      <w:spacing w:line="360" w:lineRule="auto"/>
      <w:ind w:firstLine="420" w:firstLineChars="200"/>
      <w:jc w:val="left"/>
    </w:pPr>
    <w:rPr>
      <w:rFonts w:ascii="仿宋_GB2312" w:hAnsi="Arial" w:eastAsia="仿宋_GB2312"/>
      <w:kern w:val="0"/>
      <w:sz w:val="30"/>
      <w:szCs w:val="30"/>
    </w:rPr>
  </w:style>
  <w:style w:type="paragraph" w:styleId="10">
    <w:name w:val="Body Text"/>
    <w:basedOn w:val="1"/>
    <w:link w:val="34"/>
    <w:unhideWhenUsed/>
    <w:qFormat/>
    <w:uiPriority w:val="1"/>
    <w:pPr>
      <w:spacing w:after="120"/>
    </w:pPr>
  </w:style>
  <w:style w:type="paragraph" w:styleId="11">
    <w:name w:val="annotation text"/>
    <w:basedOn w:val="1"/>
    <w:link w:val="26"/>
    <w:unhideWhenUsed/>
    <w:qFormat/>
    <w:uiPriority w:val="99"/>
    <w:pPr>
      <w:jc w:val="left"/>
    </w:pPr>
  </w:style>
  <w:style w:type="paragraph" w:styleId="12">
    <w:name w:val="Balloon Text"/>
    <w:basedOn w:val="1"/>
    <w:link w:val="36"/>
    <w:unhideWhenUsed/>
    <w:qFormat/>
    <w:uiPriority w:val="99"/>
    <w:rPr>
      <w:sz w:val="18"/>
      <w:szCs w:val="18"/>
    </w:rPr>
  </w:style>
  <w:style w:type="paragraph" w:styleId="13">
    <w:name w:val="footer"/>
    <w:basedOn w:val="1"/>
    <w:link w:val="25"/>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4">
    <w:name w:val="header"/>
    <w:basedOn w:val="1"/>
    <w:link w:val="24"/>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5">
    <w:name w:val="toc 1"/>
    <w:basedOn w:val="1"/>
    <w:next w:val="1"/>
    <w:unhideWhenUsed/>
    <w:qFormat/>
    <w:uiPriority w:val="39"/>
    <w:pPr>
      <w:tabs>
        <w:tab w:val="right" w:leader="dot" w:pos="8714"/>
      </w:tabs>
      <w:spacing w:before="60" w:line="360" w:lineRule="auto"/>
      <w:ind w:left="200" w:leftChars="200"/>
      <w:jc w:val="left"/>
    </w:pPr>
    <w:rPr>
      <w:rFonts w:eastAsia="Helvetica" w:cs="Courier"/>
      <w:bCs/>
      <w:caps/>
      <w:sz w:val="30"/>
      <w:szCs w:val="20"/>
    </w:rPr>
  </w:style>
  <w:style w:type="paragraph" w:styleId="16">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7">
    <w:name w:val="toc 2"/>
    <w:basedOn w:val="1"/>
    <w:next w:val="1"/>
    <w:unhideWhenUsed/>
    <w:qFormat/>
    <w:uiPriority w:val="39"/>
    <w:pPr>
      <w:tabs>
        <w:tab w:val="right" w:leader="dot" w:pos="8714"/>
      </w:tabs>
      <w:spacing w:line="360" w:lineRule="auto"/>
      <w:ind w:left="350" w:leftChars="350"/>
      <w:jc w:val="left"/>
    </w:pPr>
    <w:rPr>
      <w:rFonts w:eastAsia="Tms Rmn" w:cs="Courier"/>
      <w:smallCaps/>
      <w:sz w:val="30"/>
      <w:szCs w:val="20"/>
    </w:rPr>
  </w:style>
  <w:style w:type="paragraph" w:styleId="18">
    <w:name w:val="annotation subject"/>
    <w:basedOn w:val="11"/>
    <w:next w:val="11"/>
    <w:link w:val="27"/>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unhideWhenUsed/>
    <w:qFormat/>
    <w:uiPriority w:val="99"/>
    <w:rPr>
      <w:color w:val="0563C1" w:themeColor="hyperlink"/>
      <w:u w:val="single"/>
      <w14:textFill>
        <w14:solidFill>
          <w14:schemeClr w14:val="hlink"/>
        </w14:solidFill>
      </w14:textFill>
    </w:rPr>
  </w:style>
  <w:style w:type="character" w:styleId="23">
    <w:name w:val="annotation reference"/>
    <w:basedOn w:val="21"/>
    <w:unhideWhenUsed/>
    <w:qFormat/>
    <w:uiPriority w:val="99"/>
    <w:rPr>
      <w:sz w:val="21"/>
      <w:szCs w:val="21"/>
    </w:rPr>
  </w:style>
  <w:style w:type="character" w:customStyle="1" w:styleId="24">
    <w:name w:val="页眉 Char"/>
    <w:basedOn w:val="21"/>
    <w:link w:val="14"/>
    <w:qFormat/>
    <w:uiPriority w:val="99"/>
    <w:rPr>
      <w:sz w:val="18"/>
      <w:szCs w:val="18"/>
    </w:rPr>
  </w:style>
  <w:style w:type="character" w:customStyle="1" w:styleId="25">
    <w:name w:val="页脚 Char"/>
    <w:basedOn w:val="21"/>
    <w:link w:val="13"/>
    <w:qFormat/>
    <w:uiPriority w:val="99"/>
    <w:rPr>
      <w:sz w:val="18"/>
      <w:szCs w:val="18"/>
    </w:rPr>
  </w:style>
  <w:style w:type="character" w:customStyle="1" w:styleId="26">
    <w:name w:val="批注文字 Char"/>
    <w:basedOn w:val="21"/>
    <w:link w:val="11"/>
    <w:qFormat/>
    <w:uiPriority w:val="99"/>
    <w:rPr>
      <w:rFonts w:ascii="Times New Roman" w:hAnsi="Times New Roman" w:eastAsia="Courier New" w:cs="Times New Roman"/>
      <w:szCs w:val="21"/>
    </w:rPr>
  </w:style>
  <w:style w:type="character" w:customStyle="1" w:styleId="27">
    <w:name w:val="批注主题 Char"/>
    <w:basedOn w:val="26"/>
    <w:link w:val="18"/>
    <w:semiHidden/>
    <w:qFormat/>
    <w:uiPriority w:val="99"/>
    <w:rPr>
      <w:rFonts w:ascii="Times New Roman" w:hAnsi="Times New Roman" w:eastAsia="Courier New" w:cs="Times New Roman"/>
      <w:b/>
      <w:bCs/>
      <w:szCs w:val="21"/>
    </w:rPr>
  </w:style>
  <w:style w:type="paragraph" w:customStyle="1" w:styleId="28">
    <w:name w:val="独立格式"/>
    <w:basedOn w:val="16"/>
    <w:qFormat/>
    <w:uiPriority w:val="1"/>
    <w:pPr>
      <w:spacing w:before="0" w:after="0" w:line="360" w:lineRule="auto"/>
      <w:outlineLvl w:val="9"/>
    </w:pPr>
    <w:rPr>
      <w:rFonts w:ascii="Times New Roman" w:hAnsi="Times New Roman" w:eastAsia="Tms Rmn" w:cs="Times New Roman"/>
      <w:b w:val="0"/>
      <w:bCs w:val="0"/>
      <w:kern w:val="2"/>
      <w:szCs w:val="52"/>
    </w:rPr>
  </w:style>
  <w:style w:type="character" w:customStyle="1" w:styleId="29">
    <w:name w:val="副标题 Char"/>
    <w:basedOn w:val="21"/>
    <w:link w:val="16"/>
    <w:qFormat/>
    <w:uiPriority w:val="11"/>
    <w:rPr>
      <w:b/>
      <w:bCs/>
      <w:kern w:val="28"/>
      <w:sz w:val="32"/>
      <w:szCs w:val="32"/>
    </w:rPr>
  </w:style>
  <w:style w:type="character" w:customStyle="1" w:styleId="30">
    <w:name w:val="标题 2 Char"/>
    <w:basedOn w:val="21"/>
    <w:link w:val="5"/>
    <w:qFormat/>
    <w:uiPriority w:val="9"/>
    <w:rPr>
      <w:rFonts w:ascii="Arial" w:hAnsi="Arial" w:eastAsia="Symbol" w:cs="Times New Roman"/>
      <w:b/>
      <w:bCs/>
      <w:sz w:val="32"/>
      <w:szCs w:val="32"/>
    </w:rPr>
  </w:style>
  <w:style w:type="paragraph" w:customStyle="1" w:styleId="31">
    <w:name w:val="表格名称"/>
    <w:basedOn w:val="1"/>
    <w:qFormat/>
    <w:uiPriority w:val="0"/>
    <w:pPr>
      <w:spacing w:line="360" w:lineRule="auto"/>
      <w:jc w:val="center"/>
    </w:pPr>
    <w:rPr>
      <w:rFonts w:eastAsia="Helv" w:cs="New York"/>
      <w:b/>
      <w:sz w:val="24"/>
      <w:szCs w:val="24"/>
    </w:rPr>
  </w:style>
  <w:style w:type="paragraph" w:customStyle="1" w:styleId="32">
    <w:name w:val="表格文字"/>
    <w:basedOn w:val="28"/>
    <w:next w:val="1"/>
    <w:qFormat/>
    <w:uiPriority w:val="0"/>
    <w:pPr>
      <w:spacing w:line="360" w:lineRule="exact"/>
    </w:pPr>
    <w:rPr>
      <w:rFonts w:eastAsia="Helv" w:cs="New York"/>
      <w:sz w:val="24"/>
    </w:rPr>
  </w:style>
  <w:style w:type="character" w:customStyle="1" w:styleId="33">
    <w:name w:val="标题 5 Char"/>
    <w:basedOn w:val="21"/>
    <w:link w:val="8"/>
    <w:semiHidden/>
    <w:qFormat/>
    <w:uiPriority w:val="9"/>
    <w:rPr>
      <w:rFonts w:ascii="Times New Roman" w:hAnsi="Times New Roman" w:eastAsia="Courier New" w:cs="Times New Roman"/>
      <w:b/>
      <w:bCs/>
      <w:sz w:val="28"/>
      <w:szCs w:val="28"/>
    </w:rPr>
  </w:style>
  <w:style w:type="character" w:customStyle="1" w:styleId="34">
    <w:name w:val="正文文本 Char"/>
    <w:basedOn w:val="21"/>
    <w:link w:val="10"/>
    <w:semiHidden/>
    <w:qFormat/>
    <w:uiPriority w:val="99"/>
    <w:rPr>
      <w:rFonts w:ascii="Times New Roman" w:hAnsi="Times New Roman" w:eastAsia="Courier New" w:cs="Times New Roman"/>
      <w:szCs w:val="21"/>
    </w:rPr>
  </w:style>
  <w:style w:type="character" w:customStyle="1" w:styleId="35">
    <w:name w:val="标题 4 Char"/>
    <w:basedOn w:val="21"/>
    <w:link w:val="7"/>
    <w:semiHidden/>
    <w:qFormat/>
    <w:uiPriority w:val="9"/>
    <w:rPr>
      <w:rFonts w:asciiTheme="majorHAnsi" w:hAnsiTheme="majorHAnsi" w:eastAsiaTheme="majorEastAsia" w:cstheme="majorBidi"/>
      <w:b/>
      <w:bCs/>
      <w:sz w:val="28"/>
      <w:szCs w:val="28"/>
    </w:rPr>
  </w:style>
  <w:style w:type="character" w:customStyle="1" w:styleId="36">
    <w:name w:val="批注框文本 Char"/>
    <w:basedOn w:val="21"/>
    <w:link w:val="12"/>
    <w:semiHidden/>
    <w:qFormat/>
    <w:uiPriority w:val="99"/>
    <w:rPr>
      <w:rFonts w:ascii="Times New Roman" w:hAnsi="Times New Roman" w:eastAsia="Courier New" w:cs="Times New Roman"/>
      <w:kern w:val="2"/>
      <w:sz w:val="18"/>
      <w:szCs w:val="18"/>
    </w:rPr>
  </w:style>
  <w:style w:type="table" w:customStyle="1" w:styleId="37">
    <w:name w:val="Table Normal"/>
    <w:unhideWhenUsed/>
    <w:qFormat/>
    <w:uiPriority w:val="2"/>
    <w:tblPr>
      <w:tblCellMar>
        <w:top w:w="0" w:type="dxa"/>
        <w:left w:w="0" w:type="dxa"/>
        <w:bottom w:w="0" w:type="dxa"/>
        <w:right w:w="0" w:type="dxa"/>
      </w:tblCellMar>
    </w:tblPr>
  </w:style>
  <w:style w:type="paragraph" w:customStyle="1" w:styleId="38">
    <w:name w:val="List Paragraph"/>
    <w:basedOn w:val="1"/>
    <w:qFormat/>
    <w:uiPriority w:val="1"/>
    <w:pPr>
      <w:autoSpaceDE w:val="0"/>
      <w:autoSpaceDN w:val="0"/>
      <w:ind w:left="109" w:right="99" w:firstLine="641"/>
      <w:jc w:val="left"/>
    </w:pPr>
    <w:rPr>
      <w:rFonts w:ascii="Arial Unicode MS" w:hAnsi="Arial Unicode MS" w:eastAsia="Arial Unicode MS" w:cs="Arial Unicode MS"/>
      <w:kern w:val="0"/>
      <w:sz w:val="22"/>
      <w:szCs w:val="22"/>
      <w:lang w:eastAsia="en-US"/>
    </w:rPr>
  </w:style>
  <w:style w:type="paragraph" w:customStyle="1" w:styleId="39">
    <w:name w:val="Table Paragraph"/>
    <w:basedOn w:val="1"/>
    <w:qFormat/>
    <w:uiPriority w:val="1"/>
    <w:pPr>
      <w:autoSpaceDE w:val="0"/>
      <w:autoSpaceDN w:val="0"/>
      <w:jc w:val="left"/>
    </w:pPr>
    <w:rPr>
      <w:rFonts w:ascii="宋体" w:hAnsi="宋体" w:eastAsia="宋体" w:cs="宋体"/>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forceAA="0"/>
          <a:lstStyle/>
          <a:p>
            <a:pPr defTabSz="914400">
              <a:defRPr lang="zh-CN" sz="1400" b="0" i="0" u="none" strike="noStrike" kern="1200" spc="0" baseline="0">
                <a:solidFill>
                  <a:schemeClr val="tx1">
                    <a:lumMod val="65000"/>
                    <a:lumOff val="35000"/>
                  </a:schemeClr>
                </a:solidFill>
                <a:latin typeface="微软雅黑" panose="020B0503020204020204" pitchFamily="2" charset="-122"/>
                <a:ea typeface="微软雅黑" panose="020B0503020204020204" pitchFamily="2" charset="-122"/>
                <a:cs typeface="+mn-cs"/>
              </a:defRPr>
            </a:pPr>
            <a:r>
              <a:t>收入预算图</a:t>
            </a:r>
          </a:p>
        </c:rich>
      </c:tx>
      <c:layout/>
      <c:overlay val="0"/>
      <c:spPr>
        <a:noFill/>
        <a:ln>
          <a:noFill/>
        </a:ln>
        <a:effectLst/>
      </c:spPr>
    </c:title>
    <c:autoTitleDeleted val="0"/>
    <c:plotArea>
      <c:layout>
        <c:manualLayout>
          <c:layoutTarget val="inner"/>
          <c:xMode val="edge"/>
          <c:yMode val="edge"/>
          <c:x val="0.308977682747561"/>
          <c:y val="0.185325602140946"/>
          <c:w val="0.387144193505279"/>
          <c:h val="0.64607493309545"/>
        </c:manualLayout>
      </c:layout>
      <c:pieChart>
        <c:varyColors val="1"/>
        <c:ser>
          <c:idx val="0"/>
          <c:order val="0"/>
          <c:tx>
            <c:strRef>
              <c:f>Sheet1!$B$1</c:f>
              <c:strCache>
                <c:ptCount val="1"/>
                <c:pt idx="0">
                  <c:v>销售额</c:v>
                </c:pt>
              </c:strCache>
            </c:strRef>
          </c:tx>
          <c:spPr>
            <a:ln w="19050">
              <a:solidFill>
                <a:schemeClr val="bg1"/>
              </a:solidFill>
            </a:ln>
            <a:effectLst>
              <a:outerShdw blurRad="63500" sx="102000" sy="102000" algn="ctr" rotWithShape="0">
                <a:srgbClr val="384C7C">
                  <a:alpha val="18000"/>
                </a:srgbClr>
              </a:outerShdw>
            </a:effectLst>
          </c:spPr>
          <c:explosion val="0"/>
          <c:dPt>
            <c:idx val="0"/>
            <c:bubble3D val="0"/>
            <c:spPr>
              <a:solidFill>
                <a:srgbClr val="04CD9E"/>
              </a:solidFill>
              <a:ln w="19050">
                <a:solidFill>
                  <a:schemeClr val="bg1"/>
                </a:solidFill>
                <a:miter lim="800000"/>
              </a:ln>
              <a:effectLst>
                <a:outerShdw blurRad="63500" sx="102000" sy="102000" algn="ctr" rotWithShape="0">
                  <a:srgbClr val="384C7C">
                    <a:alpha val="18000"/>
                  </a:srgbClr>
                </a:outerShdw>
              </a:effectLst>
            </c:spPr>
          </c:dPt>
          <c:dPt>
            <c:idx val="1"/>
            <c:bubble3D val="0"/>
            <c:spPr>
              <a:solidFill>
                <a:srgbClr val="80E214"/>
              </a:solidFill>
              <a:ln w="22225">
                <a:solidFill>
                  <a:schemeClr val="bg1"/>
                </a:solidFill>
              </a:ln>
              <a:effectLst>
                <a:outerShdw blurRad="63500" sx="102000" sy="102000" algn="ctr" rotWithShape="0">
                  <a:srgbClr val="384C7C">
                    <a:alpha val="18000"/>
                  </a:srgbClr>
                </a:outerShdw>
              </a:effectLst>
            </c:spPr>
          </c:dPt>
          <c:dPt>
            <c:idx val="2"/>
            <c:bubble3D val="0"/>
            <c:spPr>
              <a:solidFill>
                <a:srgbClr val="119FBE"/>
              </a:solidFill>
              <a:ln w="19050">
                <a:solidFill>
                  <a:schemeClr val="bg1"/>
                </a:solidFill>
              </a:ln>
              <a:effectLst>
                <a:outerShdw blurRad="63500" sx="102000" sy="102000" algn="ctr" rotWithShape="0">
                  <a:srgbClr val="384C7C">
                    <a:alpha val="18000"/>
                  </a:srgbClr>
                </a:outerShdw>
              </a:effectLst>
            </c:spPr>
          </c:dPt>
          <c:dPt>
            <c:idx val="3"/>
            <c:bubble3D val="0"/>
            <c:spPr>
              <a:solidFill>
                <a:srgbClr val="EBC279"/>
              </a:solidFill>
              <a:ln w="19050">
                <a:solidFill>
                  <a:schemeClr val="bg1"/>
                </a:solidFill>
              </a:ln>
              <a:effectLst>
                <a:outerShdw blurRad="63500" sx="102000" sy="102000" algn="ctr" rotWithShape="0">
                  <a:srgbClr val="384C7C">
                    <a:alpha val="18000"/>
                  </a:srgbClr>
                </a:outerShdw>
              </a:effectLst>
            </c:spPr>
          </c:dPt>
          <c:dLbls>
            <c:numFmt formatCode="General" sourceLinked="1"/>
            <c:spPr>
              <a:noFill/>
              <a:ln>
                <a:noFill/>
              </a:ln>
              <a:effectLst/>
            </c:spPr>
            <c:txPr>
              <a:bodyPr rot="0" spcFirstLastPara="0" vertOverflow="ellipsis" vert="horz" wrap="square" lIns="38100" tIns="19050" rIns="38100" bIns="19050" anchor="ctr" anchorCtr="1" forceAA="0">
                <a:spAutoFit/>
              </a:bodyPr>
              <a:lstStyle/>
              <a:p>
                <a:pPr>
                  <a:defRPr lang="zh-CN" sz="900" b="0" i="0" u="none" strike="noStrike" kern="1200" baseline="0">
                    <a:solidFill>
                      <a:schemeClr val="bg1"/>
                    </a:solidFill>
                    <a:latin typeface="微软雅黑" panose="020B0503020204020204" pitchFamily="2" charset="-122"/>
                    <a:ea typeface="微软雅黑" panose="020B0503020204020204" pitchFamily="2" charset="-122"/>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一般公共预算收入</c:v>
                </c:pt>
              </c:strCache>
            </c:strRef>
          </c:cat>
          <c:val>
            <c:numRef>
              <c:f>Sheet1!$B$2:$B$5</c:f>
              <c:numCache>
                <c:formatCode>General</c:formatCode>
                <c:ptCount val="4"/>
                <c:pt idx="0">
                  <c:v>1212.18</c:v>
                </c:pt>
              </c:numCache>
            </c:numRef>
          </c:val>
        </c:ser>
        <c:dLbls>
          <c:showLegendKey val="0"/>
          <c:showVal val="1"/>
          <c:showCatName val="0"/>
          <c:showSerName val="0"/>
          <c:showPercent val="0"/>
          <c:showBubbleSize val="0"/>
          <c:showLeaderLines val="1"/>
        </c:dLbls>
        <c:firstSliceAng val="8"/>
      </c:pieChart>
      <c:spPr>
        <a:noFill/>
        <a:ln>
          <a:noFill/>
        </a:ln>
        <a:effectLst/>
      </c:spPr>
    </c:plotArea>
    <c:legend>
      <c:legendPos val="b"/>
      <c:legendEntry>
        <c:idx val="1"/>
        <c:delete val="1"/>
      </c:legendEntry>
      <c:legendEntry>
        <c:idx val="2"/>
        <c:delete val="1"/>
      </c:legendEntry>
      <c:legendEntry>
        <c:idx val="3"/>
        <c:delete val="1"/>
      </c:legendEntry>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tx1">
                  <a:lumMod val="65000"/>
                  <a:lumOff val="35000"/>
                </a:schemeClr>
              </a:solidFill>
              <a:latin typeface="微软雅黑" panose="020B0503020204020204" pitchFamily="2" charset="-122"/>
              <a:ea typeface="微软雅黑" panose="020B0503020204020204" pitchFamily="2"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a:outerShdw blurRad="63500" dist="37357" dir="2700000" sx="0" sy="0" rotWithShape="0">
        <a:scrgbClr r="0" g="0" b="0"/>
      </a:outerShdw>
    </a:effectLst>
  </c:spPr>
  <c:txPr>
    <a:bodyPr/>
    <a:lstStyle/>
    <a:p>
      <a:pPr>
        <a:defRPr lang="zh-CN">
          <a:latin typeface="微软雅黑" panose="020B0503020204020204" pitchFamily="2" charset="-122"/>
          <a:ea typeface="微软雅黑" panose="020B0503020204020204" pitchFamily="2"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支出预算图</a:t>
            </a:r>
          </a:p>
        </c:rich>
      </c:tx>
      <c:layout>
        <c:manualLayout>
          <c:xMode val="edge"/>
          <c:yMode val="edge"/>
          <c:x val="0.43675"/>
          <c:y val="0.09"/>
        </c:manualLayout>
      </c:layout>
      <c:overlay val="0"/>
      <c:spPr>
        <a:noFill/>
        <a:ln>
          <a:noFill/>
        </a:ln>
        <a:effectLst/>
      </c:spPr>
    </c:title>
    <c:autoTitleDeleted val="0"/>
    <c:plotArea>
      <c:layout>
        <c:manualLayout>
          <c:layoutTarget val="inner"/>
          <c:xMode val="edge"/>
          <c:yMode val="edge"/>
          <c:x val="0.308977682747561"/>
          <c:y val="0.185325602140946"/>
          <c:w val="0.387144193505279"/>
          <c:h val="0.64607493309545"/>
        </c:manualLayout>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703.38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0.0471399260625806"/>
                  <c:y val="0.00250686781267583"/>
                </c:manualLayout>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508.8</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delete val="1"/>
            </c:dLbl>
            <c:dLbl>
              <c:idx val="3"/>
              <c:delete val="1"/>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General</c:formatCode>
                <c:ptCount val="4"/>
                <c:pt idx="0">
                  <c:v>703.38</c:v>
                </c:pt>
                <c:pt idx="1">
                  <c:v>508.8</c:v>
                </c:pt>
              </c:numCache>
            </c:numRef>
          </c:val>
        </c:ser>
        <c:dLbls>
          <c:showLegendKey val="0"/>
          <c:showVal val="1"/>
          <c:showCatName val="0"/>
          <c:showSerName val="0"/>
          <c:showPercent val="0"/>
          <c:showBubbleSize val="0"/>
          <c:showLeaderLines val="1"/>
        </c:dLbls>
        <c:firstSliceAng val="8"/>
      </c:pieChart>
      <c:spPr>
        <a:noFill/>
        <a:ln>
          <a:noFill/>
        </a:ln>
        <a:effectLst/>
      </c:spPr>
    </c:plotArea>
    <c:legend>
      <c:legendPos val="b"/>
      <c:legendEntry>
        <c:idx val="2"/>
        <c:delete val="1"/>
      </c:legendEntry>
      <c:legendEntry>
        <c:idx val="3"/>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6633</Words>
  <Characters>7236</Characters>
  <Lines>246</Lines>
  <Paragraphs>69</Paragraphs>
  <TotalTime>33</TotalTime>
  <ScaleCrop>false</ScaleCrop>
  <LinksUpToDate>false</LinksUpToDate>
  <CharactersWithSpaces>7287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2021-11-01T16:43:00Z</dcterms:created>
  <dc:creator>Richard Meng</dc:creator>
  <cp:lastModifiedBy>Administrator</cp:lastModifiedBy>
  <cp:lastPrinted>2023-01-16T16:04:00Z</cp:lastPrinted>
  <dcterms:modified xsi:type="dcterms:W3CDTF">2024-02-22T10:41:04Z</dcterms:modified>
  <cp:revision>1199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BF1E98CC042D478BB52E15A715304995_13</vt:lpwstr>
  </property>
</Properties>
</file>