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Arial" w:hAnsi="Arial" w:eastAsia="Symbol"/>
          <w:b/>
          <w:bCs/>
          <w:sz w:val="32"/>
          <w:szCs w:val="32"/>
          <w:highlight w:val="none"/>
        </w:rPr>
      </w:pPr>
    </w:p>
    <w:p>
      <w:pPr>
        <w:pStyle w:val="2"/>
      </w:pPr>
    </w:p>
    <w:p>
      <w:pPr>
        <w:pStyle w:val="2"/>
        <w:rPr>
          <w:rFonts w:hint="default"/>
          <w:highlight w:val="none"/>
        </w:rPr>
      </w:pPr>
    </w:p>
    <w:p>
      <w:pPr>
        <w:spacing w:line="600" w:lineRule="exact"/>
        <w:jc w:val="center"/>
        <w:rPr>
          <w:rFonts w:ascii="Arial" w:hAnsi="Arial" w:eastAsia="宋体"/>
          <w:b/>
          <w:bCs/>
          <w:sz w:val="32"/>
          <w:szCs w:val="32"/>
          <w:highlight w:val="none"/>
        </w:rPr>
      </w:pPr>
    </w:p>
    <w:p>
      <w:pPr>
        <w:spacing w:line="600" w:lineRule="exact"/>
        <w:jc w:val="center"/>
        <w:rPr>
          <w:rFonts w:ascii="Arial" w:hAnsi="Arial" w:eastAsia="宋体"/>
          <w:b/>
          <w:bCs/>
          <w:sz w:val="32"/>
          <w:szCs w:val="32"/>
          <w:highlight w:val="none"/>
        </w:rPr>
      </w:pPr>
    </w:p>
    <w:p>
      <w:pPr>
        <w:spacing w:line="600" w:lineRule="exact"/>
        <w:jc w:val="center"/>
        <w:rPr>
          <w:rFonts w:ascii="Arial" w:hAnsi="Arial" w:eastAsia="宋体"/>
          <w:b/>
          <w:bCs/>
          <w:sz w:val="32"/>
          <w:szCs w:val="32"/>
          <w:highlight w:val="none"/>
        </w:rPr>
      </w:pPr>
    </w:p>
    <w:p>
      <w:pPr>
        <w:spacing w:line="600" w:lineRule="exact"/>
        <w:jc w:val="center"/>
        <w:rPr>
          <w:rFonts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val="en-US" w:eastAsia="zh-CN"/>
        </w:rPr>
        <w:t>2024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u w:val="single"/>
          <w:lang w:val="en-US" w:eastAsia="zh-CN"/>
        </w:rPr>
        <w:t>通辽市科学技术协会本级</w:t>
      </w:r>
      <w:r>
        <w:rPr>
          <w:rFonts w:hint="eastAsia" w:ascii="方正小标宋简体" w:hAnsi="方正小标宋简体" w:eastAsia="方正小标宋简体" w:cs="方正小标宋简体"/>
          <w:sz w:val="44"/>
          <w:szCs w:val="44"/>
          <w:highlight w:val="none"/>
        </w:rPr>
        <w:t>预算公开</w:t>
      </w: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批复时间：</w:t>
      </w:r>
      <w:r>
        <w:rPr>
          <w:rFonts w:hint="eastAsia" w:ascii="黑体" w:hAnsi="黑体" w:eastAsia="黑体" w:cs="黑体"/>
          <w:sz w:val="32"/>
          <w:szCs w:val="32"/>
          <w:highlight w:val="none"/>
          <w:u w:val="single"/>
          <w:lang w:val="en-US" w:eastAsia="zh-CN"/>
        </w:rPr>
        <w:t>2024</w:t>
      </w:r>
      <w:r>
        <w:rPr>
          <w:rFonts w:ascii="黑体" w:hAnsi="黑体" w:eastAsia="黑体" w:cs="黑体"/>
          <w:sz w:val="32"/>
          <w:szCs w:val="32"/>
          <w:highlight w:val="none"/>
          <w:u w:val="single"/>
        </w:rPr>
        <w:t>年</w:t>
      </w:r>
      <w:r>
        <w:rPr>
          <w:rFonts w:hint="eastAsia" w:ascii="黑体" w:hAnsi="黑体" w:eastAsia="黑体" w:cs="黑体"/>
          <w:sz w:val="32"/>
          <w:szCs w:val="32"/>
          <w:highlight w:val="none"/>
          <w:u w:val="single"/>
          <w:lang w:val="en-US" w:eastAsia="zh-CN"/>
        </w:rPr>
        <w:t>2</w:t>
      </w:r>
      <w:r>
        <w:rPr>
          <w:rFonts w:ascii="黑体" w:hAnsi="黑体" w:eastAsia="黑体" w:cs="黑体"/>
          <w:sz w:val="32"/>
          <w:szCs w:val="32"/>
          <w:highlight w:val="none"/>
          <w:u w:val="single"/>
        </w:rPr>
        <w:t>月</w:t>
      </w:r>
      <w:r>
        <w:rPr>
          <w:rFonts w:hint="eastAsia" w:ascii="黑体" w:hAnsi="黑体" w:eastAsia="黑体" w:cs="黑体"/>
          <w:sz w:val="32"/>
          <w:szCs w:val="32"/>
          <w:highlight w:val="none"/>
          <w:u w:val="single"/>
          <w:lang w:val="en-US" w:eastAsia="zh-CN"/>
        </w:rPr>
        <w:t>21</w:t>
      </w:r>
      <w:r>
        <w:rPr>
          <w:rFonts w:ascii="黑体" w:hAnsi="黑体" w:eastAsia="黑体" w:cs="黑体"/>
          <w:sz w:val="32"/>
          <w:szCs w:val="32"/>
          <w:highlight w:val="none"/>
          <w:u w:val="single"/>
        </w:rPr>
        <w:t>日</w:t>
      </w:r>
    </w:p>
    <w:p>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公开时间：</w:t>
      </w:r>
      <w:r>
        <w:rPr>
          <w:rFonts w:hint="eastAsia" w:ascii="黑体" w:hAnsi="黑体" w:eastAsia="黑体" w:cs="黑体"/>
          <w:sz w:val="32"/>
          <w:szCs w:val="32"/>
          <w:highlight w:val="none"/>
          <w:u w:val="single"/>
          <w:lang w:val="en-US" w:eastAsia="zh-CN"/>
        </w:rPr>
        <w:t>2024</w:t>
      </w:r>
      <w:r>
        <w:rPr>
          <w:rFonts w:ascii="黑体" w:hAnsi="黑体" w:eastAsia="黑体" w:cs="黑体"/>
          <w:sz w:val="32"/>
          <w:szCs w:val="32"/>
          <w:highlight w:val="none"/>
          <w:u w:val="single"/>
        </w:rPr>
        <w:t>年</w:t>
      </w:r>
      <w:r>
        <w:rPr>
          <w:rFonts w:hint="eastAsia" w:ascii="黑体" w:hAnsi="黑体" w:eastAsia="黑体" w:cs="黑体"/>
          <w:sz w:val="32"/>
          <w:szCs w:val="32"/>
          <w:highlight w:val="none"/>
          <w:u w:val="single"/>
          <w:lang w:val="en-US" w:eastAsia="zh-CN"/>
        </w:rPr>
        <w:t>2</w:t>
      </w:r>
      <w:r>
        <w:rPr>
          <w:rFonts w:ascii="黑体" w:hAnsi="黑体" w:eastAsia="黑体" w:cs="黑体"/>
          <w:sz w:val="32"/>
          <w:szCs w:val="32"/>
          <w:highlight w:val="none"/>
          <w:u w:val="single"/>
        </w:rPr>
        <w:t>月</w:t>
      </w:r>
      <w:r>
        <w:rPr>
          <w:rFonts w:hint="eastAsia" w:ascii="黑体" w:hAnsi="黑体" w:eastAsia="黑体" w:cs="黑体"/>
          <w:sz w:val="32"/>
          <w:szCs w:val="32"/>
          <w:highlight w:val="none"/>
          <w:u w:val="single"/>
          <w:lang w:val="en-US" w:eastAsia="zh-CN"/>
        </w:rPr>
        <w:t>26</w:t>
      </w:r>
      <w:r>
        <w:rPr>
          <w:rFonts w:ascii="黑体" w:hAnsi="黑体" w:eastAsia="黑体" w:cs="黑体"/>
          <w:sz w:val="32"/>
          <w:szCs w:val="32"/>
          <w:highlight w:val="none"/>
          <w:u w:val="single"/>
        </w:rPr>
        <w:t>日</w:t>
      </w:r>
    </w:p>
    <w:p>
      <w:pPr>
        <w:adjustRightInd w:val="0"/>
        <w:snapToGrid w:val="0"/>
        <w:spacing w:line="600" w:lineRule="exact"/>
        <w:ind w:firstLine="640"/>
        <w:rPr>
          <w:rFonts w:ascii="Times New Roman" w:hAnsi="Times New Roman" w:eastAsia="仿宋_GB2312"/>
          <w:sz w:val="32"/>
          <w:szCs w:val="32"/>
          <w:highlight w:val="none"/>
        </w:rPr>
      </w:pPr>
    </w:p>
    <w:p>
      <w:pPr>
        <w:pageBreakBefore/>
        <w:tabs>
          <w:tab w:val="left" w:pos="4533"/>
        </w:tabs>
        <w:adjustRightInd w:val="0"/>
        <w:snapToGrid w:val="0"/>
        <w:spacing w:line="600" w:lineRule="exact"/>
        <w:jc w:val="center"/>
        <w:rPr>
          <w:sz w:val="44"/>
          <w:szCs w:val="44"/>
          <w:highlight w:val="none"/>
        </w:rPr>
      </w:pPr>
      <w:r>
        <w:rPr>
          <w:sz w:val="44"/>
          <w:szCs w:val="44"/>
          <w:highlight w:val="none"/>
        </w:rPr>
        <w:t>目</w:t>
      </w:r>
      <w:r>
        <w:rPr>
          <w:rFonts w:hint="eastAsia" w:eastAsia="宋体"/>
          <w:sz w:val="44"/>
          <w:szCs w:val="44"/>
          <w:highlight w:val="none"/>
        </w:rPr>
        <w:t xml:space="preserve">  </w:t>
      </w:r>
      <w:r>
        <w:rPr>
          <w:rFonts w:hint="eastAsia"/>
          <w:sz w:val="44"/>
          <w:szCs w:val="44"/>
          <w:highlight w:val="none"/>
        </w:rPr>
        <w:t xml:space="preserve">  </w:t>
      </w:r>
      <w:r>
        <w:rPr>
          <w:sz w:val="44"/>
          <w:szCs w:val="44"/>
          <w:highlight w:val="none"/>
        </w:rPr>
        <w:t>录</w:t>
      </w:r>
    </w:p>
    <w:p>
      <w:pPr>
        <w:rPr>
          <w:highlight w:val="none"/>
        </w:rPr>
      </w:pP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第一部分 </w:t>
      </w:r>
      <w:r>
        <w:rPr>
          <w:rFonts w:hint="eastAsia" w:ascii="黑体" w:hAnsi="黑体" w:eastAsia="黑体" w:cs="黑体"/>
          <w:sz w:val="32"/>
          <w:szCs w:val="32"/>
          <w:highlight w:val="none"/>
          <w:lang w:val="en-US" w:eastAsia="zh-CN"/>
        </w:rPr>
        <w:t>部门所属单位</w:t>
      </w:r>
      <w:r>
        <w:rPr>
          <w:rFonts w:hint="eastAsia" w:ascii="黑体" w:hAnsi="黑体" w:eastAsia="黑体" w:cs="黑体"/>
          <w:sz w:val="32"/>
          <w:szCs w:val="32"/>
          <w:highlight w:val="none"/>
        </w:rPr>
        <w:t>概况</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一、主要职能、职责</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w:t>
      </w:r>
      <w:r>
        <w:rPr>
          <w:rFonts w:hint="eastAsia" w:eastAsia="仿宋_GB2312" w:cs="仿宋"/>
          <w:sz w:val="32"/>
          <w:szCs w:val="32"/>
          <w:highlight w:val="none"/>
          <w:lang w:val="en-US" w:eastAsia="zh-CN"/>
        </w:rPr>
        <w:t>部门所属单位</w:t>
      </w:r>
      <w:r>
        <w:rPr>
          <w:rFonts w:hint="eastAsia" w:ascii="Times New Roman" w:hAnsi="Times New Roman" w:eastAsia="仿宋_GB2312" w:cs="仿宋"/>
          <w:sz w:val="32"/>
          <w:szCs w:val="32"/>
          <w:highlight w:val="none"/>
        </w:rPr>
        <w:t>机构设置及预算单位构成情况</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w:t>
      </w:r>
      <w:r>
        <w:rPr>
          <w:rFonts w:hint="eastAsia" w:ascii="仿宋_GB2312" w:hAnsi="仿宋_GB2312" w:eastAsia="仿宋_GB2312" w:cs="仿宋"/>
          <w:sz w:val="32"/>
          <w:szCs w:val="32"/>
          <w:highlight w:val="none"/>
          <w:lang w:val="en-US" w:eastAsia="zh-CN"/>
        </w:rPr>
        <w:t>2024</w:t>
      </w:r>
      <w:r>
        <w:rPr>
          <w:rFonts w:hint="eastAsia" w:ascii="Times New Roman" w:hAnsi="Times New Roman" w:eastAsia="仿宋_GB2312" w:cs="仿宋"/>
          <w:sz w:val="32"/>
          <w:szCs w:val="32"/>
          <w:highlight w:val="none"/>
        </w:rPr>
        <w:t>年度部门</w:t>
      </w:r>
      <w:r>
        <w:rPr>
          <w:rFonts w:hint="eastAsia" w:eastAsia="仿宋_GB2312" w:cs="仿宋"/>
          <w:sz w:val="32"/>
          <w:szCs w:val="32"/>
          <w:highlight w:val="none"/>
          <w:lang w:val="en-US" w:eastAsia="zh-CN"/>
        </w:rPr>
        <w:t>所属单位</w:t>
      </w:r>
      <w:r>
        <w:rPr>
          <w:rFonts w:hint="eastAsia" w:ascii="Times New Roman" w:hAnsi="Times New Roman" w:eastAsia="仿宋_GB2312" w:cs="仿宋"/>
          <w:sz w:val="32"/>
          <w:szCs w:val="32"/>
          <w:highlight w:val="none"/>
        </w:rPr>
        <w:t>主要工作任务及目标</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第二部分 </w:t>
      </w:r>
      <w:r>
        <w:rPr>
          <w:rFonts w:hint="eastAsia" w:ascii="黑体" w:hAnsi="黑体" w:eastAsia="黑体" w:cs="黑体"/>
          <w:sz w:val="32"/>
          <w:szCs w:val="32"/>
          <w:highlight w:val="none"/>
          <w:lang w:val="en-US" w:eastAsia="zh-CN"/>
        </w:rPr>
        <w:t>2022</w:t>
      </w:r>
      <w:r>
        <w:rPr>
          <w:rFonts w:hint="eastAsia" w:ascii="黑体" w:hAnsi="黑体" w:eastAsia="黑体" w:cs="黑体"/>
          <w:sz w:val="32"/>
          <w:szCs w:val="32"/>
          <w:highlight w:val="none"/>
        </w:rPr>
        <w:t>年度部门</w:t>
      </w:r>
      <w:r>
        <w:rPr>
          <w:rFonts w:hint="eastAsia" w:ascii="黑体" w:hAnsi="黑体" w:eastAsia="黑体" w:cs="黑体"/>
          <w:sz w:val="32"/>
          <w:szCs w:val="32"/>
          <w:highlight w:val="none"/>
          <w:lang w:val="en-US" w:eastAsia="zh-CN"/>
        </w:rPr>
        <w:t>所属单位</w:t>
      </w:r>
      <w:r>
        <w:rPr>
          <w:rFonts w:hint="eastAsia" w:ascii="黑体" w:hAnsi="黑体" w:eastAsia="黑体" w:cs="黑体"/>
          <w:sz w:val="32"/>
          <w:szCs w:val="32"/>
          <w:highlight w:val="none"/>
        </w:rPr>
        <w:t>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一、收支预算总体情况说明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四、财政拨款收支预算总体情况说明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五、一般公共预算支出预算情况说明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六、一般公共预算基本支出预算情况说明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七、一般公共预算“三公”经费支出预算情况说明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八、政府性基金预算支出预算情况说明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w:t>
      </w:r>
      <w:r>
        <w:rPr>
          <w:rFonts w:hint="eastAsia" w:ascii="Times New Roman" w:hAnsi="Times New Roman" w:eastAsia="仿宋_GB2312" w:cs="仿宋"/>
          <w:sz w:val="32"/>
          <w:szCs w:val="32"/>
          <w:highlight w:val="none"/>
          <w:lang w:val="en-US" w:eastAsia="zh-CN"/>
        </w:rPr>
        <w:t>机构</w:t>
      </w:r>
      <w:r>
        <w:rPr>
          <w:rFonts w:hint="eastAsia" w:ascii="Times New Roman" w:hAnsi="Times New Roman" w:eastAsia="仿宋_GB2312" w:cs="仿宋"/>
          <w:sz w:val="32"/>
          <w:szCs w:val="32"/>
          <w:highlight w:val="none"/>
        </w:rPr>
        <w:t>运行经费支出预算情况说明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十二、政府采购支出预算情况说明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十三、国有资产占用情况说明</w:t>
      </w:r>
    </w:p>
    <w:p>
      <w:pPr>
        <w:widowControl/>
        <w:spacing w:line="600" w:lineRule="exact"/>
        <w:jc w:val="lef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 xml:space="preserve">十四、项目绩效目标情况说明 </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第三部分 名词解释</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第四部分 预算公开联系方式及信息反馈渠道</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第五部分 </w:t>
      </w:r>
      <w:r>
        <w:rPr>
          <w:rFonts w:hint="eastAsia" w:ascii="黑体" w:hAnsi="黑体" w:eastAsia="黑体" w:cs="黑体"/>
          <w:sz w:val="32"/>
          <w:szCs w:val="32"/>
          <w:highlight w:val="none"/>
          <w:lang w:val="en-US" w:eastAsia="zh-CN"/>
        </w:rPr>
        <w:t>2024</w:t>
      </w:r>
      <w:r>
        <w:rPr>
          <w:rFonts w:hint="eastAsia" w:ascii="黑体" w:hAnsi="黑体" w:eastAsia="黑体" w:cs="黑体"/>
          <w:sz w:val="32"/>
          <w:szCs w:val="32"/>
          <w:highlight w:val="none"/>
        </w:rPr>
        <w:t>年度部门</w:t>
      </w:r>
      <w:r>
        <w:rPr>
          <w:rFonts w:hint="eastAsia" w:ascii="黑体" w:hAnsi="黑体" w:eastAsia="黑体" w:cs="黑体"/>
          <w:sz w:val="32"/>
          <w:szCs w:val="32"/>
          <w:highlight w:val="none"/>
          <w:lang w:val="en-US" w:eastAsia="zh-CN"/>
        </w:rPr>
        <w:t>所属单位</w:t>
      </w:r>
      <w:r>
        <w:rPr>
          <w:rFonts w:hint="eastAsia" w:ascii="黑体" w:hAnsi="黑体" w:eastAsia="黑体" w:cs="黑体"/>
          <w:sz w:val="32"/>
          <w:szCs w:val="32"/>
          <w:highlight w:val="none"/>
        </w:rPr>
        <w:t>预算表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三、支出总表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四、财政拨款收支总表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五、一般公共预算支出表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六、一般公共预算基本支出表</w:t>
      </w:r>
    </w:p>
    <w:p>
      <w:pPr>
        <w:pStyle w:val="10"/>
        <w:spacing w:after="0" w:line="600" w:lineRule="exact"/>
        <w:rPr>
          <w:rFonts w:ascii="Times New Roman" w:hAnsi="Times New Roman" w:eastAsia="仿宋_GB2312" w:cs="仿宋"/>
          <w:spacing w:val="-16"/>
          <w:w w:val="95"/>
          <w:sz w:val="32"/>
          <w:szCs w:val="32"/>
          <w:highlight w:val="none"/>
        </w:rPr>
      </w:pPr>
      <w:r>
        <w:rPr>
          <w:rFonts w:hint="eastAsia" w:ascii="Times New Roman" w:hAnsi="Times New Roman" w:eastAsia="仿宋_GB2312" w:cs="仿宋"/>
          <w:spacing w:val="-17"/>
          <w:w w:val="95"/>
          <w:sz w:val="32"/>
          <w:szCs w:val="32"/>
          <w:highlight w:val="none"/>
        </w:rPr>
        <w:t>七、一般公共预算</w:t>
      </w:r>
      <w:r>
        <w:rPr>
          <w:rFonts w:hint="eastAsia" w:ascii="Times New Roman" w:hAnsi="Times New Roman" w:eastAsia="仿宋_GB2312" w:cs="仿宋"/>
          <w:spacing w:val="-8"/>
          <w:w w:val="95"/>
          <w:sz w:val="32"/>
          <w:szCs w:val="32"/>
          <w:highlight w:val="none"/>
        </w:rPr>
        <w:t>“</w:t>
      </w:r>
      <w:r>
        <w:rPr>
          <w:rFonts w:hint="eastAsia" w:ascii="Times New Roman" w:hAnsi="Times New Roman" w:eastAsia="仿宋_GB2312" w:cs="仿宋"/>
          <w:spacing w:val="-15"/>
          <w:w w:val="95"/>
          <w:sz w:val="32"/>
          <w:szCs w:val="32"/>
          <w:highlight w:val="none"/>
        </w:rPr>
        <w:t>三公</w:t>
      </w:r>
      <w:r>
        <w:rPr>
          <w:rFonts w:hint="eastAsia" w:ascii="Times New Roman" w:hAnsi="Times New Roman" w:eastAsia="仿宋_GB2312" w:cs="仿宋"/>
          <w:spacing w:val="-10"/>
          <w:w w:val="95"/>
          <w:sz w:val="32"/>
          <w:szCs w:val="32"/>
          <w:highlight w:val="none"/>
        </w:rPr>
        <w:t>”</w:t>
      </w:r>
      <w:r>
        <w:rPr>
          <w:rFonts w:hint="eastAsia" w:ascii="Times New Roman" w:hAnsi="Times New Roman" w:eastAsia="仿宋_GB2312" w:cs="仿宋"/>
          <w:spacing w:val="-16"/>
          <w:w w:val="95"/>
          <w:sz w:val="32"/>
          <w:szCs w:val="32"/>
          <w:highlight w:val="none"/>
        </w:rPr>
        <w:t>经费支出表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pacing w:val="-16"/>
          <w:w w:val="95"/>
          <w:sz w:val="32"/>
          <w:szCs w:val="32"/>
          <w:highlight w:val="none"/>
        </w:rPr>
        <w:t>八、政府性基金预算支出表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十一、项目绩效目标表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十二、政府采购预算表</w:t>
      </w:r>
    </w:p>
    <w:p>
      <w:pPr>
        <w:pStyle w:val="2"/>
        <w:rPr>
          <w:rFonts w:hint="default"/>
          <w:highlight w:val="none"/>
        </w:rPr>
      </w:pPr>
    </w:p>
    <w:p>
      <w:pPr>
        <w:pStyle w:val="2"/>
        <w:rPr>
          <w:rFonts w:hint="default"/>
          <w:highlight w:val="none"/>
        </w:rPr>
        <w:sectPr>
          <w:headerReference r:id="rId3" w:type="default"/>
          <w:footerReference r:id="rId4" w:type="default"/>
          <w:pgSz w:w="11910" w:h="16840"/>
          <w:pgMar w:top="1582" w:right="1680" w:bottom="278" w:left="1640" w:header="720" w:footer="720" w:gutter="0"/>
          <w:pgNumType w:fmt="numberInDash"/>
          <w:cols w:space="0" w:num="1"/>
        </w:sect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0" w:name="_Toc30742"/>
      <w:r>
        <w:rPr>
          <w:rFonts w:hint="eastAsia" w:ascii="方正小标宋简体" w:hAnsi="方正小标宋简体" w:eastAsia="方正小标宋简体" w:cs="方正小标宋简体"/>
          <w:b w:val="0"/>
          <w:bCs w:val="0"/>
          <w:sz w:val="36"/>
          <w:szCs w:val="36"/>
          <w:highlight w:val="none"/>
        </w:rPr>
        <w:t>第一部分  单位概况</w:t>
      </w:r>
      <w:bookmarkEnd w:id="0"/>
    </w:p>
    <w:p>
      <w:pPr>
        <w:spacing w:line="600" w:lineRule="exact"/>
        <w:rPr>
          <w:rFonts w:ascii="方正小标宋简体" w:hAnsi="方正小标宋简体" w:eastAsia="方正小标宋简体" w:cs="方正小标宋简体"/>
          <w:sz w:val="36"/>
          <w:szCs w:val="36"/>
          <w:highlight w:val="none"/>
        </w:rPr>
      </w:pPr>
    </w:p>
    <w:p>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主要职能职责</w:t>
      </w:r>
    </w:p>
    <w:p>
      <w:pPr>
        <w:snapToGrid w:val="0"/>
        <w:spacing w:line="560" w:lineRule="exact"/>
        <w:ind w:firstLine="640"/>
        <w:rPr>
          <w:rFonts w:hint="eastAsia" w:eastAsia="仿宋_GB2312"/>
          <w:color w:val="auto"/>
          <w:sz w:val="32"/>
          <w:szCs w:val="32"/>
        </w:rPr>
      </w:pPr>
      <w:r>
        <w:rPr>
          <w:rFonts w:hint="eastAsia" w:eastAsia="仿宋_GB2312"/>
          <w:color w:val="auto"/>
          <w:sz w:val="32"/>
          <w:szCs w:val="32"/>
        </w:rPr>
        <w:t>通辽市科学技术协会</w:t>
      </w:r>
      <w:r>
        <w:rPr>
          <w:rFonts w:hint="eastAsia" w:eastAsia="仿宋_GB2312"/>
          <w:color w:val="auto"/>
          <w:sz w:val="32"/>
          <w:szCs w:val="32"/>
          <w:lang w:val="en-US" w:eastAsia="zh-CN"/>
        </w:rPr>
        <w:t>本级</w:t>
      </w:r>
      <w:r>
        <w:rPr>
          <w:rFonts w:hint="eastAsia" w:eastAsia="仿宋_GB2312"/>
          <w:color w:val="auto"/>
          <w:sz w:val="32"/>
          <w:szCs w:val="32"/>
        </w:rPr>
        <w:t>是中国共产党领导下的群众团体，是党和政府联系广大科学技术工作者的桥梁和纽带，是推动科学技术事业发展的重要力量。</w:t>
      </w:r>
    </w:p>
    <w:p>
      <w:pPr>
        <w:snapToGrid w:val="0"/>
        <w:spacing w:line="560" w:lineRule="exact"/>
        <w:ind w:firstLine="640"/>
        <w:rPr>
          <w:rFonts w:hint="eastAsia" w:ascii="仿宋_GB2312" w:hAnsi="黑体" w:eastAsia="仿宋_GB2312"/>
          <w:color w:val="auto"/>
          <w:sz w:val="32"/>
          <w:szCs w:val="32"/>
        </w:rPr>
      </w:pPr>
      <w:r>
        <w:rPr>
          <w:rFonts w:hint="eastAsia" w:ascii="仿宋_GB2312" w:hAnsi="黑体" w:eastAsia="仿宋_GB2312"/>
          <w:color w:val="auto"/>
          <w:sz w:val="32"/>
          <w:szCs w:val="32"/>
        </w:rPr>
        <w:t>1、宣传</w:t>
      </w:r>
      <w:r>
        <w:rPr>
          <w:rFonts w:hint="eastAsia" w:ascii="仿宋_GB2312" w:hAnsi="黑体" w:eastAsia="仿宋_GB2312"/>
          <w:color w:val="auto"/>
          <w:sz w:val="32"/>
          <w:szCs w:val="32"/>
          <w:lang w:val="en-US" w:eastAsia="zh-CN"/>
        </w:rPr>
        <w:t>科</w:t>
      </w:r>
      <w:r>
        <w:rPr>
          <w:rFonts w:hint="eastAsia" w:ascii="仿宋_GB2312" w:hAnsi="黑体" w:eastAsia="仿宋_GB2312"/>
          <w:color w:val="auto"/>
          <w:sz w:val="32"/>
          <w:szCs w:val="32"/>
        </w:rPr>
        <w:t xml:space="preserve">学的路线方针政策，密切联系科学技术工作者，反映科学技术工作者的建议、意见和诉求，维护科学技术工作者的合法权益，建设科技工作者之家。     </w:t>
      </w:r>
    </w:p>
    <w:p>
      <w:pPr>
        <w:snapToGrid w:val="0"/>
        <w:spacing w:line="560" w:lineRule="exact"/>
        <w:ind w:firstLine="640"/>
        <w:rPr>
          <w:rFonts w:hint="eastAsia" w:ascii="仿宋_GB2312" w:hAnsi="黑体" w:eastAsia="仿宋_GB2312"/>
          <w:color w:val="auto"/>
          <w:sz w:val="32"/>
          <w:szCs w:val="32"/>
        </w:rPr>
      </w:pPr>
      <w:r>
        <w:rPr>
          <w:rFonts w:hint="eastAsia" w:ascii="仿宋_GB2312" w:hAnsi="黑体" w:eastAsia="仿宋_GB2312"/>
          <w:color w:val="auto"/>
          <w:sz w:val="32"/>
          <w:szCs w:val="32"/>
        </w:rPr>
        <w:t>2、开展学术交流，活跃学术思想，倡导学术民主，优化学术环境，促进学科发展，推进创新体系建设。</w:t>
      </w:r>
    </w:p>
    <w:p>
      <w:pPr>
        <w:snapToGrid w:val="0"/>
        <w:spacing w:line="560" w:lineRule="exact"/>
        <w:ind w:firstLine="640"/>
        <w:rPr>
          <w:rFonts w:hint="eastAsia" w:ascii="仿宋_GB2312" w:hAnsi="黑体" w:eastAsia="仿宋_GB2312"/>
          <w:color w:val="auto"/>
          <w:sz w:val="32"/>
          <w:szCs w:val="32"/>
        </w:rPr>
      </w:pPr>
      <w:r>
        <w:rPr>
          <w:rFonts w:hint="eastAsia" w:ascii="仿宋_GB2312" w:hAnsi="黑体" w:eastAsia="仿宋_GB2312"/>
          <w:color w:val="auto"/>
          <w:sz w:val="32"/>
          <w:szCs w:val="32"/>
        </w:rPr>
        <w:t>3、组织科学技术工作者开展科技创新，参与科学认证和咨询服务，加快科学技术成果转化应用，助力创新发展，为增强企业自主创新能力作贡献。</w:t>
      </w:r>
    </w:p>
    <w:p>
      <w:pPr>
        <w:snapToGrid w:val="0"/>
        <w:spacing w:line="560" w:lineRule="exact"/>
        <w:ind w:firstLine="640"/>
        <w:rPr>
          <w:rFonts w:hint="eastAsia" w:ascii="仿宋_GB2312" w:hAnsi="黑体" w:eastAsia="仿宋_GB2312"/>
          <w:color w:val="auto"/>
          <w:sz w:val="32"/>
          <w:szCs w:val="32"/>
        </w:rPr>
      </w:pPr>
      <w:r>
        <w:rPr>
          <w:rFonts w:hint="eastAsia" w:ascii="仿宋_GB2312" w:hAnsi="黑体" w:eastAsia="仿宋_GB2312"/>
          <w:color w:val="auto"/>
          <w:sz w:val="32"/>
          <w:szCs w:val="32"/>
        </w:rPr>
        <w:t>4、弘扬科学精神，普及科学知识，推广先进技术，传播科学思想和科学方法，捍卫科学尊严，提高全民科学素质。</w:t>
      </w:r>
    </w:p>
    <w:p>
      <w:pPr>
        <w:snapToGrid w:val="0"/>
        <w:spacing w:line="560" w:lineRule="exact"/>
        <w:ind w:firstLine="640"/>
        <w:rPr>
          <w:rFonts w:hint="eastAsia" w:ascii="仿宋_GB2312" w:hAnsi="黑体" w:eastAsia="仿宋_GB2312"/>
          <w:color w:val="auto"/>
          <w:sz w:val="32"/>
          <w:szCs w:val="32"/>
        </w:rPr>
      </w:pPr>
      <w:r>
        <w:rPr>
          <w:rFonts w:hint="eastAsia" w:ascii="仿宋_GB2312" w:hAnsi="黑体" w:eastAsia="仿宋_GB2312"/>
          <w:color w:val="auto"/>
          <w:sz w:val="32"/>
          <w:szCs w:val="32"/>
        </w:rPr>
        <w:t>5、健全科学共同体的自律功能，推动建立和完善科学研究诚信监督机制，促进科学道德建设和学风建设，宣传优秀科技工作者，培育科学文化，践行社会主义核心价值观。</w:t>
      </w:r>
    </w:p>
    <w:p>
      <w:pPr>
        <w:snapToGrid w:val="0"/>
        <w:spacing w:line="560" w:lineRule="exact"/>
        <w:ind w:firstLine="640"/>
        <w:rPr>
          <w:rFonts w:hint="eastAsia" w:ascii="仿宋_GB2312" w:hAnsi="黑体" w:eastAsia="仿宋_GB2312"/>
          <w:color w:val="auto"/>
          <w:sz w:val="32"/>
          <w:szCs w:val="32"/>
        </w:rPr>
      </w:pPr>
      <w:r>
        <w:rPr>
          <w:rFonts w:hint="eastAsia" w:ascii="仿宋_GB2312" w:hAnsi="黑体" w:eastAsia="仿宋_GB2312"/>
          <w:color w:val="auto"/>
          <w:sz w:val="32"/>
          <w:szCs w:val="32"/>
        </w:rPr>
        <w:t>6、组织科学技术工作</w:t>
      </w:r>
      <w:r>
        <w:rPr>
          <w:rFonts w:hint="eastAsia" w:ascii="仿宋_GB2312" w:hAnsi="黑体" w:eastAsia="仿宋_GB2312"/>
          <w:color w:val="auto"/>
          <w:sz w:val="32"/>
          <w:szCs w:val="32"/>
          <w:lang w:val="en-US" w:eastAsia="zh-CN"/>
        </w:rPr>
        <w:t>者</w:t>
      </w:r>
      <w:r>
        <w:rPr>
          <w:rFonts w:hint="eastAsia" w:ascii="仿宋_GB2312" w:hAnsi="黑体" w:eastAsia="仿宋_GB2312"/>
          <w:color w:val="auto"/>
          <w:sz w:val="32"/>
          <w:szCs w:val="32"/>
        </w:rPr>
        <w:t>参与全市科技规划、政策的咨询制定和重大事务的政治协商、科学决策、民主监督工作，建设科技创新智库。</w:t>
      </w:r>
    </w:p>
    <w:p>
      <w:pPr>
        <w:snapToGrid w:val="0"/>
        <w:spacing w:line="560" w:lineRule="exact"/>
        <w:ind w:firstLine="640"/>
        <w:rPr>
          <w:rFonts w:hint="eastAsia" w:ascii="仿宋_GB2312" w:hAnsi="黑体" w:eastAsia="仿宋_GB2312"/>
          <w:color w:val="auto"/>
          <w:sz w:val="32"/>
          <w:szCs w:val="32"/>
        </w:rPr>
      </w:pPr>
      <w:r>
        <w:rPr>
          <w:rFonts w:hint="eastAsia" w:ascii="仿宋_GB2312" w:hAnsi="黑体" w:eastAsia="仿宋_GB2312"/>
          <w:color w:val="auto"/>
          <w:sz w:val="32"/>
          <w:szCs w:val="32"/>
        </w:rPr>
        <w:t>7、组织所属学会有序承接科技评估、工程技术领域职业资格认定、技术标准研制、国家科技奖励推荐等政府委托工作或转移职能。</w:t>
      </w:r>
    </w:p>
    <w:p>
      <w:pPr>
        <w:snapToGrid w:val="0"/>
        <w:spacing w:line="560" w:lineRule="exact"/>
        <w:ind w:firstLine="640"/>
        <w:rPr>
          <w:rFonts w:hint="eastAsia" w:ascii="仿宋_GB2312" w:hAnsi="黑体" w:eastAsia="仿宋_GB2312"/>
          <w:color w:val="auto"/>
          <w:sz w:val="32"/>
          <w:szCs w:val="32"/>
        </w:rPr>
      </w:pPr>
      <w:r>
        <w:rPr>
          <w:rFonts w:hint="eastAsia" w:ascii="仿宋_GB2312" w:hAnsi="黑体" w:eastAsia="仿宋_GB2312"/>
          <w:color w:val="auto"/>
          <w:sz w:val="32"/>
          <w:szCs w:val="32"/>
        </w:rPr>
        <w:t>8、注重激发青少年科技兴趣，发现培养杰出青年科学家和创新团队，推选优秀科学技术工作者，举荐科学技术人才。</w:t>
      </w:r>
    </w:p>
    <w:p>
      <w:pPr>
        <w:snapToGrid w:val="0"/>
        <w:spacing w:line="560" w:lineRule="exact"/>
        <w:ind w:firstLine="640"/>
        <w:rPr>
          <w:rFonts w:hint="eastAsia" w:ascii="仿宋_GB2312" w:hAnsi="黑体" w:eastAsia="仿宋_GB2312"/>
          <w:color w:val="auto"/>
          <w:sz w:val="32"/>
          <w:szCs w:val="32"/>
        </w:rPr>
      </w:pPr>
      <w:r>
        <w:rPr>
          <w:rFonts w:hint="eastAsia" w:ascii="仿宋_GB2312" w:hAnsi="黑体" w:eastAsia="仿宋_GB2312"/>
          <w:color w:val="auto"/>
          <w:sz w:val="32"/>
          <w:szCs w:val="32"/>
        </w:rPr>
        <w:t>9、开展民间国际科学技术交流活动，促进国际科学技术合作，发展同国（境）外科学技术团体和科技工作者的友好交往。</w:t>
      </w:r>
    </w:p>
    <w:p>
      <w:pPr>
        <w:snapToGrid w:val="0"/>
        <w:spacing w:line="560" w:lineRule="exact"/>
        <w:ind w:firstLine="640"/>
        <w:rPr>
          <w:rFonts w:hint="eastAsia" w:ascii="仿宋_GB2312" w:hAnsi="黑体" w:eastAsia="仿宋_GB2312"/>
          <w:color w:val="auto"/>
          <w:sz w:val="32"/>
          <w:szCs w:val="32"/>
        </w:rPr>
      </w:pPr>
      <w:r>
        <w:rPr>
          <w:rFonts w:hint="eastAsia" w:ascii="仿宋_GB2312" w:hAnsi="黑体" w:eastAsia="仿宋_GB2312"/>
          <w:color w:val="auto"/>
          <w:sz w:val="32"/>
          <w:szCs w:val="32"/>
        </w:rPr>
        <w:t>10、兴办符合中国科协宗旨的社会公益性事业。</w:t>
      </w:r>
    </w:p>
    <w:p>
      <w:pPr>
        <w:snapToGrid w:val="0"/>
        <w:spacing w:line="560" w:lineRule="exact"/>
        <w:ind w:firstLine="640"/>
        <w:rPr>
          <w:rFonts w:hint="eastAsia" w:ascii="仿宋_GB2312" w:hAnsi="黑体" w:eastAsia="仿宋_GB2312"/>
          <w:color w:val="auto"/>
          <w:sz w:val="32"/>
          <w:szCs w:val="32"/>
        </w:rPr>
      </w:pPr>
      <w:r>
        <w:rPr>
          <w:rFonts w:hint="eastAsia" w:ascii="仿宋_GB2312" w:hAnsi="黑体" w:eastAsia="仿宋_GB2312"/>
          <w:color w:val="auto"/>
          <w:sz w:val="32"/>
          <w:szCs w:val="32"/>
        </w:rPr>
        <w:t>11、依照章程按期召开科协代表大会，对所属的市级学会进行管理，指导旗县市区科协工作。</w:t>
      </w:r>
    </w:p>
    <w:p>
      <w:pPr>
        <w:snapToGrid w:val="0"/>
        <w:spacing w:line="560" w:lineRule="exact"/>
        <w:ind w:firstLine="640"/>
        <w:rPr>
          <w:rFonts w:hint="eastAsia" w:ascii="仿宋_GB2312" w:hAnsi="黑体" w:eastAsia="仿宋_GB2312"/>
          <w:color w:val="auto"/>
          <w:sz w:val="32"/>
          <w:szCs w:val="32"/>
        </w:rPr>
      </w:pPr>
      <w:r>
        <w:rPr>
          <w:rFonts w:hint="eastAsia" w:ascii="仿宋_GB2312" w:hAnsi="黑体" w:eastAsia="仿宋_GB2312"/>
          <w:color w:val="auto"/>
          <w:sz w:val="32"/>
          <w:szCs w:val="32"/>
        </w:rPr>
        <w:t>12、承办市委、政府和国家、自治区科协交办的其他事项。</w:t>
      </w:r>
    </w:p>
    <w:p>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lang w:val="en-US" w:eastAsia="zh-CN"/>
        </w:rPr>
        <w:t>单位</w:t>
      </w:r>
      <w:r>
        <w:rPr>
          <w:rFonts w:hint="eastAsia" w:eastAsia="黑体" w:cs="黑体"/>
          <w:sz w:val="32"/>
          <w:szCs w:val="36"/>
          <w:highlight w:val="none"/>
        </w:rPr>
        <w:t>机构设置及预算单位构成情况</w:t>
      </w:r>
    </w:p>
    <w:p>
      <w:pPr>
        <w:spacing w:line="600" w:lineRule="exact"/>
        <w:ind w:firstLine="640" w:firstLineChars="200"/>
        <w:rPr>
          <w:rFonts w:hint="eastAsia" w:eastAsia="仿宋_GB2312" w:cstheme="minorBidi"/>
          <w:sz w:val="32"/>
          <w:szCs w:val="32"/>
          <w:highlight w:val="none"/>
          <w:lang w:eastAsia="zh-CN"/>
        </w:rPr>
      </w:pPr>
      <w:r>
        <w:rPr>
          <w:rFonts w:hint="eastAsia" w:eastAsia="仿宋_GB2312" w:cstheme="minorBidi"/>
          <w:sz w:val="32"/>
          <w:szCs w:val="32"/>
          <w:highlight w:val="none"/>
        </w:rPr>
        <w:t>1．根据单位职责分工，本单位内设机构包括</w:t>
      </w:r>
      <w:r>
        <w:rPr>
          <w:rFonts w:hint="eastAsia" w:ascii="仿宋_GB2312" w:hAnsi="仿宋_GB2312" w:eastAsia="仿宋_GB2312" w:cstheme="minorBidi"/>
          <w:sz w:val="32"/>
          <w:szCs w:val="32"/>
          <w:highlight w:val="none"/>
          <w:lang w:val="en-US" w:eastAsia="zh-CN"/>
        </w:rPr>
        <w:t>科普部、学会部、党政办公室</w:t>
      </w:r>
      <w:r>
        <w:rPr>
          <w:rFonts w:hint="eastAsia" w:eastAsia="仿宋_GB2312" w:cstheme="minorBidi"/>
          <w:sz w:val="32"/>
          <w:szCs w:val="32"/>
          <w:highlight w:val="none"/>
        </w:rPr>
        <w:t>。本单位无下属单位</w:t>
      </w:r>
      <w:r>
        <w:rPr>
          <w:rFonts w:hint="eastAsia" w:eastAsia="仿宋_GB2312" w:cstheme="minorBidi"/>
          <w:sz w:val="32"/>
          <w:szCs w:val="32"/>
          <w:highlight w:val="none"/>
          <w:lang w:eastAsia="zh-CN"/>
        </w:rPr>
        <w:t>。</w:t>
      </w:r>
    </w:p>
    <w:p>
      <w:pPr>
        <w:spacing w:line="600" w:lineRule="exact"/>
        <w:ind w:firstLine="640" w:firstLineChars="200"/>
        <w:rPr>
          <w:rFonts w:ascii="仿宋_GB2312" w:hAnsi="仿宋_GB2312" w:eastAsia="仿宋_GB2312" w:cs="仿宋_GB2312"/>
          <w:b/>
          <w:bCs/>
          <w:sz w:val="32"/>
          <w:szCs w:val="32"/>
          <w:highlight w:val="none"/>
        </w:rPr>
      </w:pPr>
      <w:r>
        <w:rPr>
          <w:rFonts w:hint="eastAsia" w:eastAsia="仿宋_GB2312" w:cstheme="minorBidi"/>
          <w:sz w:val="32"/>
          <w:szCs w:val="32"/>
          <w:highlight w:val="none"/>
        </w:rPr>
        <w:t>2．从预算单位构成看，纳入本单位</w:t>
      </w:r>
      <w:r>
        <w:rPr>
          <w:rFonts w:hint="eastAsia" w:ascii="仿宋_GB2312" w:hAnsi="仿宋_GB2312" w:eastAsia="仿宋_GB2312" w:cs="仿宋"/>
          <w:sz w:val="32"/>
          <w:szCs w:val="32"/>
          <w:highlight w:val="none"/>
          <w:lang w:val="en-US" w:eastAsia="zh-CN"/>
        </w:rPr>
        <w:t>2024</w:t>
      </w:r>
      <w:r>
        <w:rPr>
          <w:rFonts w:hint="eastAsia" w:eastAsia="仿宋_GB2312" w:cstheme="minorBidi"/>
          <w:sz w:val="32"/>
          <w:szCs w:val="32"/>
          <w:highlight w:val="none"/>
        </w:rPr>
        <w:t>年部门汇总预算编制范围的预算单位共计</w:t>
      </w:r>
      <w:r>
        <w:rPr>
          <w:rFonts w:hint="eastAsia" w:ascii="仿宋_GB2312" w:hAnsi="仿宋_GB2312" w:eastAsia="仿宋_GB2312" w:cs="仿宋"/>
          <w:sz w:val="32"/>
          <w:szCs w:val="32"/>
          <w:highlight w:val="none"/>
          <w:lang w:val="en-US" w:eastAsia="zh-CN"/>
        </w:rPr>
        <w:t>1</w:t>
      </w:r>
      <w:r>
        <w:rPr>
          <w:rFonts w:hint="eastAsia" w:eastAsia="仿宋_GB2312" w:cstheme="minorBidi"/>
          <w:sz w:val="32"/>
          <w:szCs w:val="32"/>
          <w:highlight w:val="none"/>
        </w:rPr>
        <w:t>家，具体包括：</w:t>
      </w:r>
      <w:r>
        <w:rPr>
          <w:rFonts w:hint="eastAsia" w:ascii="仿宋_GB2312" w:hAnsi="仿宋_GB2312" w:eastAsia="仿宋_GB2312" w:cs="仿宋"/>
          <w:sz w:val="32"/>
          <w:szCs w:val="32"/>
          <w:highlight w:val="none"/>
          <w:lang w:val="en-US" w:eastAsia="zh-CN"/>
        </w:rPr>
        <w:t>通辽市科学技术协会</w:t>
      </w:r>
      <w:r>
        <w:rPr>
          <w:rFonts w:hint="eastAsia" w:eastAsia="仿宋_GB2312" w:cstheme="minorBidi"/>
          <w:sz w:val="32"/>
          <w:szCs w:val="32"/>
          <w:highlight w:val="none"/>
        </w:rPr>
        <w:t>本级。详细情况见表：</w:t>
      </w:r>
    </w:p>
    <w:tbl>
      <w:tblPr>
        <w:tblStyle w:val="2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3260"/>
        <w:gridCol w:w="4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序号</w:t>
            </w:r>
          </w:p>
        </w:tc>
        <w:tc>
          <w:tcPr>
            <w:tcW w:w="3260"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单位名称</w:t>
            </w:r>
          </w:p>
        </w:tc>
        <w:tc>
          <w:tcPr>
            <w:tcW w:w="4600"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vAlign w:val="center"/>
          </w:tcPr>
          <w:p>
            <w:pPr>
              <w:widowControl/>
              <w:jc w:val="center"/>
              <w:rPr>
                <w:rFonts w:hint="eastAsia" w:ascii="仿宋" w:hAnsi="仿宋" w:eastAsia="仿宋" w:cs="仿宋"/>
                <w:color w:val="000000"/>
                <w:kern w:val="0"/>
                <w:sz w:val="31"/>
                <w:szCs w:val="31"/>
                <w:highlight w:val="none"/>
                <w:lang w:eastAsia="zh-CN" w:bidi="ar"/>
              </w:rPr>
            </w:pPr>
            <w:r>
              <w:rPr>
                <w:rFonts w:hint="eastAsia" w:eastAsia="仿宋_GB2312" w:cs="仿宋"/>
                <w:color w:val="000000"/>
                <w:kern w:val="0"/>
                <w:sz w:val="31"/>
                <w:szCs w:val="31"/>
                <w:highlight w:val="none"/>
                <w:lang w:val="en-US" w:eastAsia="zh-CN" w:bidi="ar"/>
              </w:rPr>
              <w:t>1</w:t>
            </w:r>
          </w:p>
        </w:tc>
        <w:tc>
          <w:tcPr>
            <w:tcW w:w="3260" w:type="dxa"/>
          </w:tcPr>
          <w:p>
            <w:pPr>
              <w:widowControl/>
              <w:jc w:val="left"/>
              <w:rPr>
                <w:rFonts w:hint="default" w:ascii="仿宋" w:hAnsi="仿宋" w:eastAsia="仿宋" w:cs="仿宋"/>
                <w:color w:val="000000"/>
                <w:kern w:val="0"/>
                <w:sz w:val="31"/>
                <w:szCs w:val="31"/>
                <w:highlight w:val="none"/>
                <w:lang w:val="en-US" w:eastAsia="zh-CN" w:bidi="ar"/>
              </w:rPr>
            </w:pPr>
            <w:r>
              <w:rPr>
                <w:rFonts w:hint="eastAsia" w:ascii="仿宋_GB2312" w:hAnsi="仿宋_GB2312" w:eastAsia="仿宋_GB2312" w:cs="仿宋"/>
                <w:color w:val="000000"/>
                <w:kern w:val="0"/>
                <w:sz w:val="31"/>
                <w:szCs w:val="31"/>
                <w:highlight w:val="none"/>
                <w:lang w:val="en-US" w:eastAsia="zh-CN" w:bidi="ar"/>
              </w:rPr>
              <w:t>通辽市科学技术协会本级</w:t>
            </w:r>
          </w:p>
        </w:tc>
        <w:tc>
          <w:tcPr>
            <w:tcW w:w="4600" w:type="dxa"/>
          </w:tcPr>
          <w:p>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参照公务员法管理的事业单位</w:t>
            </w:r>
          </w:p>
        </w:tc>
      </w:tr>
    </w:tbl>
    <w:p>
      <w:pPr>
        <w:numPr>
          <w:ilvl w:val="0"/>
          <w:numId w:val="1"/>
        </w:numPr>
        <w:spacing w:line="600" w:lineRule="exact"/>
        <w:ind w:left="17" w:leftChars="8" w:firstLine="624" w:firstLineChars="195"/>
        <w:outlineLvl w:val="2"/>
        <w:rPr>
          <w:rFonts w:eastAsia="黑体" w:cs="黑体"/>
          <w:sz w:val="32"/>
          <w:szCs w:val="36"/>
          <w:highlight w:val="none"/>
        </w:rPr>
      </w:pPr>
      <w:r>
        <w:rPr>
          <w:rFonts w:hint="eastAsia" w:ascii="仿宋_GB2312" w:hAnsi="仿宋_GB2312" w:eastAsia="黑体" w:cs="黑体"/>
          <w:sz w:val="32"/>
          <w:szCs w:val="36"/>
          <w:highlight w:val="none"/>
          <w:lang w:val="en-US" w:eastAsia="zh-CN"/>
        </w:rPr>
        <w:t>2024</w:t>
      </w:r>
      <w:r>
        <w:rPr>
          <w:rFonts w:hint="eastAsia" w:eastAsia="黑体" w:cs="黑体"/>
          <w:sz w:val="32"/>
          <w:szCs w:val="36"/>
          <w:highlight w:val="none"/>
        </w:rPr>
        <w:t>年度单位主要工作任务及目标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bookmarkStart w:id="1" w:name="_Toc21288"/>
      <w:r>
        <w:rPr>
          <w:rFonts w:hint="eastAsia" w:ascii="仿宋_GB2312" w:hAnsi="仿宋_GB2312" w:eastAsia="仿宋_GB2312" w:cs="仿宋_GB2312"/>
          <w:b w:val="0"/>
          <w:bCs w:val="0"/>
          <w:sz w:val="32"/>
          <w:szCs w:val="32"/>
          <w:lang w:val="en-US" w:eastAsia="zh-CN"/>
        </w:rPr>
        <w:t>1.忠诚拥护“两个确立”、坚决做到“两个维护”，把广大科技工作者更加紧密地团结凝聚在党的周围；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2.以提高服务效能为核心，聚焦主责主业，坚持为科技工作者提供优质服务；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3.以提升创新能力为核心，围绕全市发展大局，坚持为创新驱动发展服务；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4.以全面实施《纲要》为主线，扎实开展科学普及工作，坚持为全民科学素质提升服务；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5.以科技赋能为导向，建设高水平科技智库，坚持为党和政府科学决策服务；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小标宋简体" w:hAnsi="方正小标宋简体" w:eastAsia="方正小标宋简体" w:cs="方正小标宋简体"/>
          <w:b w:val="0"/>
          <w:bCs w:val="0"/>
          <w:sz w:val="36"/>
          <w:szCs w:val="36"/>
          <w:highlight w:val="none"/>
        </w:rPr>
      </w:pPr>
      <w:r>
        <w:rPr>
          <w:rFonts w:hint="eastAsia" w:ascii="仿宋_GB2312" w:hAnsi="仿宋_GB2312" w:eastAsia="仿宋_GB2312" w:cs="仿宋_GB2312"/>
          <w:b w:val="0"/>
          <w:bCs w:val="0"/>
          <w:sz w:val="32"/>
          <w:szCs w:val="32"/>
          <w:lang w:val="en-US" w:eastAsia="zh-CN"/>
        </w:rPr>
        <w:t>6.以加强自身建设为根本，坚持固本强基，切实提升服务保障能力。</w:t>
      </w:r>
    </w:p>
    <w:p>
      <w:pPr>
        <w:pStyle w:val="5"/>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sz w:val="36"/>
          <w:szCs w:val="36"/>
          <w:highlight w:val="none"/>
        </w:rPr>
      </w:pPr>
      <w:r>
        <w:rPr>
          <w:rFonts w:hint="eastAsia" w:ascii="方正小标宋简体" w:hAnsi="方正小标宋简体" w:eastAsia="方正小标宋简体" w:cs="方正小标宋简体"/>
          <w:b w:val="0"/>
          <w:bCs w:val="0"/>
          <w:sz w:val="36"/>
          <w:szCs w:val="36"/>
          <w:highlight w:val="none"/>
        </w:rPr>
        <w:t>第二部分</w:t>
      </w:r>
      <w:r>
        <w:rPr>
          <w:rFonts w:hint="eastAsia" w:ascii="方正小标宋简体" w:hAnsi="方正小标宋简体" w:eastAsia="方正小标宋简体" w:cs="方正小标宋简体"/>
          <w:b w:val="0"/>
          <w:bCs w:val="0"/>
          <w:sz w:val="36"/>
          <w:szCs w:val="36"/>
          <w:highlight w:val="none"/>
          <w:lang w:val="en-US" w:eastAsia="zh-CN"/>
        </w:rPr>
        <w:t xml:space="preserve">  2024</w:t>
      </w:r>
      <w:r>
        <w:rPr>
          <w:rFonts w:hint="eastAsia" w:ascii="方正小标宋简体" w:hAnsi="方正小标宋简体" w:eastAsia="方正小标宋简体" w:cs="方正小标宋简体"/>
          <w:b w:val="0"/>
          <w:bCs w:val="0"/>
          <w:sz w:val="36"/>
          <w:szCs w:val="36"/>
          <w:highlight w:val="none"/>
        </w:rPr>
        <w:t>年度单位预算情况说明</w:t>
      </w:r>
      <w:bookmarkEnd w:id="1"/>
    </w:p>
    <w:p/>
    <w:p>
      <w:pPr>
        <w:spacing w:line="600" w:lineRule="exact"/>
        <w:ind w:left="0" w:leftChars="0" w:firstLine="640" w:firstLineChars="200"/>
        <w:outlineLvl w:val="2"/>
        <w:rPr>
          <w:rFonts w:ascii="Times New Roman" w:hAnsi="Times New Roman" w:eastAsia="仿宋_GB2312" w:cs="仿宋"/>
          <w:sz w:val="32"/>
          <w:szCs w:val="32"/>
          <w:highlight w:val="none"/>
        </w:rPr>
      </w:pPr>
      <w:r>
        <w:rPr>
          <w:rFonts w:hint="eastAsia" w:eastAsia="黑体" w:cs="黑体"/>
          <w:sz w:val="32"/>
          <w:szCs w:val="36"/>
          <w:highlight w:val="none"/>
        </w:rPr>
        <w:t>一、收支预算总体情况说明</w:t>
      </w:r>
    </w:p>
    <w:p>
      <w:pPr>
        <w:pStyle w:val="10"/>
        <w:tabs>
          <w:tab w:val="left" w:pos="5840"/>
          <w:tab w:val="left" w:pos="7858"/>
          <w:tab w:val="left" w:pos="9328"/>
        </w:tabs>
        <w:spacing w:after="0"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
          <w:sz w:val="32"/>
          <w:szCs w:val="32"/>
          <w:highlight w:val="none"/>
          <w:u w:val="single"/>
          <w:lang w:val="en-US" w:eastAsia="zh-CN"/>
        </w:rPr>
        <w:t>通辽市科学技术协会（本级）</w:t>
      </w:r>
      <w:r>
        <w:rPr>
          <w:rFonts w:hint="eastAsia" w:ascii="仿宋_GB2312" w:hAnsi="仿宋_GB2312" w:eastAsia="仿宋_GB2312" w:cs="仿宋"/>
          <w:sz w:val="32"/>
          <w:szCs w:val="32"/>
          <w:highlight w:val="none"/>
          <w:lang w:val="en-US" w:eastAsia="zh-CN"/>
        </w:rPr>
        <w:t>2024</w:t>
      </w:r>
      <w:r>
        <w:rPr>
          <w:rFonts w:hint="eastAsia" w:ascii="仿宋_GB2312" w:hAnsi="仿宋_GB2312" w:eastAsia="仿宋_GB2312" w:cs="仿宋_GB2312"/>
          <w:sz w:val="32"/>
          <w:szCs w:val="32"/>
          <w:highlight w:val="none"/>
        </w:rPr>
        <w:t>年度收入、支出预算总计</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431.79</w:t>
      </w:r>
      <w:r>
        <w:rPr>
          <w:rFonts w:hint="eastAsia" w:ascii="仿宋_GB2312" w:hAnsi="仿宋_GB2312" w:eastAsia="仿宋_GB2312" w:cs="仿宋_GB2312"/>
          <w:sz w:val="32"/>
          <w:szCs w:val="32"/>
          <w:highlight w:val="none"/>
        </w:rPr>
        <w:t>万元，与上年相比收、支预算总计各增加</w:t>
      </w:r>
      <w:r>
        <w:rPr>
          <w:rFonts w:hint="eastAsia" w:ascii="仿宋_GB2312" w:hAnsi="仿宋_GB2312" w:eastAsia="仿宋_GB2312" w:cs="仿宋_GB2312"/>
          <w:sz w:val="32"/>
          <w:szCs w:val="32"/>
          <w:highlight w:val="none"/>
          <w:u w:val="single"/>
          <w:lang w:val="en-US" w:eastAsia="zh-CN"/>
        </w:rPr>
        <w:t>147.48</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u w:val="single"/>
          <w:lang w:val="en-US" w:eastAsia="zh-CN"/>
        </w:rPr>
        <w:t>51.87</w:t>
      </w:r>
      <w:r>
        <w:rPr>
          <w:rFonts w:hint="eastAsia" w:ascii="仿宋_GB2312" w:hAnsi="仿宋_GB2312" w:eastAsia="仿宋_GB2312" w:cs="仿宋_GB2312"/>
          <w:sz w:val="32"/>
          <w:szCs w:val="32"/>
          <w:highlight w:val="none"/>
        </w:rPr>
        <w:t>%。其中：</w:t>
      </w:r>
    </w:p>
    <w:p>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（一）收入预算总计</w:t>
      </w:r>
      <w:r>
        <w:rPr>
          <w:rFonts w:hint="eastAsia" w:eastAsia="仿宋_GB2312" w:cs="仿宋"/>
          <w:sz w:val="32"/>
          <w:szCs w:val="32"/>
          <w:highlight w:val="none"/>
          <w:u w:val="single"/>
          <w:lang w:val="en-US" w:eastAsia="zh-CN"/>
        </w:rPr>
        <w:t>431.79</w:t>
      </w:r>
      <w:r>
        <w:rPr>
          <w:rFonts w:hint="eastAsia" w:ascii="楷体" w:hAnsi="楷体" w:eastAsia="楷体" w:cs="楷体"/>
          <w:b/>
          <w:bCs/>
          <w:sz w:val="32"/>
          <w:szCs w:val="32"/>
          <w:highlight w:val="none"/>
        </w:rPr>
        <w:t>万元。包括：</w:t>
      </w:r>
    </w:p>
    <w:p>
      <w:pPr>
        <w:pStyle w:val="10"/>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1．本年收入合计</w:t>
      </w:r>
      <w:r>
        <w:rPr>
          <w:rFonts w:hint="eastAsia" w:eastAsia="仿宋_GB2312"/>
          <w:sz w:val="32"/>
          <w:szCs w:val="32"/>
          <w:highlight w:val="none"/>
          <w:u w:val="single"/>
          <w:lang w:val="en-US" w:eastAsia="zh-CN"/>
        </w:rPr>
        <w:t>431.79</w:t>
      </w:r>
      <w:r>
        <w:rPr>
          <w:rFonts w:eastAsia="仿宋_GB2312"/>
          <w:sz w:val="32"/>
          <w:szCs w:val="32"/>
          <w:highlight w:val="none"/>
        </w:rPr>
        <w:t>万元。</w:t>
      </w:r>
    </w:p>
    <w:p>
      <w:pPr>
        <w:pStyle w:val="10"/>
        <w:tabs>
          <w:tab w:val="left" w:pos="1389"/>
          <w:tab w:val="left" w:pos="4911"/>
          <w:tab w:val="left" w:pos="5898"/>
        </w:tabs>
        <w:spacing w:after="0" w:line="600" w:lineRule="exact"/>
        <w:ind w:firstLine="640" w:firstLineChars="200"/>
        <w:rPr>
          <w:rFonts w:eastAsia="仿宋_GB2312"/>
          <w:sz w:val="32"/>
          <w:szCs w:val="32"/>
          <w:highlight w:val="none"/>
        </w:rPr>
      </w:pPr>
      <w:r>
        <w:rPr>
          <w:rFonts w:eastAsia="仿宋_GB2312"/>
          <w:sz w:val="32"/>
          <w:szCs w:val="32"/>
          <w:highlight w:val="none"/>
        </w:rPr>
        <w:t>（1）一般公共预算拨款收入</w:t>
      </w:r>
      <w:r>
        <w:rPr>
          <w:rFonts w:hint="eastAsia" w:eastAsia="仿宋_GB2312"/>
          <w:sz w:val="32"/>
          <w:szCs w:val="32"/>
          <w:highlight w:val="none"/>
          <w:u w:val="single"/>
          <w:lang w:val="en-US" w:eastAsia="zh-CN"/>
        </w:rPr>
        <w:t>431.79</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147.48</w:t>
      </w:r>
      <w:r>
        <w:rPr>
          <w:rFonts w:eastAsia="仿宋_GB2312"/>
          <w:sz w:val="32"/>
          <w:szCs w:val="32"/>
          <w:highlight w:val="none"/>
        </w:rPr>
        <w:t>万元，增长</w:t>
      </w:r>
      <w:r>
        <w:rPr>
          <w:rFonts w:hint="eastAsia" w:eastAsia="仿宋_GB2312"/>
          <w:sz w:val="32"/>
          <w:szCs w:val="32"/>
          <w:highlight w:val="none"/>
          <w:u w:val="single"/>
          <w:lang w:val="en-US" w:eastAsia="zh-CN"/>
        </w:rPr>
        <w:t>51.87</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eastAsia="仿宋_GB2312"/>
          <w:sz w:val="32"/>
          <w:szCs w:val="32"/>
          <w:lang w:val="en-US" w:eastAsia="zh-CN"/>
        </w:rPr>
        <w:t>人员经费及项目经费增加</w:t>
      </w:r>
      <w:r>
        <w:rPr>
          <w:rFonts w:eastAsia="仿宋_GB2312"/>
          <w:sz w:val="32"/>
          <w:szCs w:val="32"/>
          <w:highlight w:val="none"/>
        </w:rPr>
        <w:t>。</w:t>
      </w:r>
    </w:p>
    <w:p>
      <w:pPr>
        <w:pStyle w:val="10"/>
        <w:tabs>
          <w:tab w:val="left" w:pos="1389"/>
          <w:tab w:val="left" w:pos="4911"/>
          <w:tab w:val="left" w:pos="5991"/>
        </w:tabs>
        <w:spacing w:after="0" w:line="600" w:lineRule="exact"/>
        <w:ind w:firstLine="640" w:firstLineChars="200"/>
        <w:rPr>
          <w:rFonts w:eastAsia="仿宋_GB2312"/>
          <w:sz w:val="32"/>
          <w:szCs w:val="32"/>
          <w:highlight w:val="none"/>
        </w:rPr>
      </w:pPr>
      <w:r>
        <w:rPr>
          <w:rFonts w:eastAsia="仿宋_GB2312"/>
          <w:sz w:val="32"/>
          <w:szCs w:val="32"/>
          <w:highlight w:val="none"/>
        </w:rPr>
        <w:t>（2）政府性基金预算拨款收入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本单位</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1389"/>
          <w:tab w:val="left" w:pos="4911"/>
          <w:tab w:val="left" w:pos="6205"/>
        </w:tabs>
        <w:spacing w:after="0" w:line="600" w:lineRule="exact"/>
        <w:ind w:firstLine="640" w:firstLineChars="200"/>
        <w:rPr>
          <w:rFonts w:eastAsia="仿宋_GB2312"/>
          <w:sz w:val="32"/>
          <w:szCs w:val="32"/>
          <w:highlight w:val="none"/>
        </w:rPr>
      </w:pPr>
      <w:r>
        <w:rPr>
          <w:rFonts w:eastAsia="仿宋_GB2312"/>
          <w:sz w:val="32"/>
          <w:szCs w:val="32"/>
          <w:highlight w:val="none"/>
        </w:rPr>
        <w:t>（3）国有资本经营预算拨款收入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本单位</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1389"/>
          <w:tab w:val="left" w:pos="4911"/>
          <w:tab w:val="left" w:pos="5898"/>
        </w:tabs>
        <w:spacing w:after="0" w:line="600" w:lineRule="exact"/>
        <w:ind w:firstLine="640" w:firstLineChars="200"/>
        <w:rPr>
          <w:rFonts w:eastAsia="仿宋_GB2312"/>
          <w:sz w:val="32"/>
          <w:szCs w:val="32"/>
          <w:highlight w:val="none"/>
        </w:rPr>
      </w:pPr>
      <w:r>
        <w:rPr>
          <w:rFonts w:eastAsia="仿宋_GB2312"/>
          <w:sz w:val="32"/>
          <w:szCs w:val="32"/>
          <w:highlight w:val="none"/>
        </w:rPr>
        <w:t>（4）财政专户管理资金收入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本单位</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3310"/>
          <w:tab w:val="left" w:pos="3807"/>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（5）事业收入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本单位</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（6）事业单位经营收入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本单位</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4320"/>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（7）上级补助收入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本单位</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（8）附属单位上缴收入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本单位</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3310"/>
          <w:tab w:val="left" w:pos="4121"/>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（9）其他收入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本单位</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3310"/>
          <w:tab w:val="left" w:pos="4280"/>
          <w:tab w:val="left" w:pos="9431"/>
        </w:tabs>
        <w:spacing w:after="0" w:line="600" w:lineRule="exact"/>
        <w:ind w:firstLine="640" w:firstLineChars="200"/>
        <w:rPr>
          <w:rFonts w:ascii="仿宋_GB2312" w:hAnsi="仿宋_GB2312" w:eastAsia="仿宋_GB2312"/>
          <w:color w:val="FF0000"/>
          <w:sz w:val="32"/>
          <w:szCs w:val="24"/>
          <w:highlight w:val="none"/>
        </w:rPr>
      </w:pPr>
      <w:r>
        <w:rPr>
          <w:rFonts w:eastAsia="仿宋_GB2312"/>
          <w:sz w:val="32"/>
          <w:szCs w:val="32"/>
          <w:highlight w:val="none"/>
        </w:rPr>
        <w:t>2．上年结转结余</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本单位</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（二）支出预算总计</w:t>
      </w:r>
      <w:r>
        <w:rPr>
          <w:rFonts w:hint="eastAsia" w:eastAsia="仿宋_GB2312" w:cs="仿宋"/>
          <w:sz w:val="32"/>
          <w:szCs w:val="32"/>
          <w:highlight w:val="none"/>
          <w:u w:val="single"/>
          <w:lang w:val="en-US" w:eastAsia="zh-CN"/>
        </w:rPr>
        <w:t>431.79</w:t>
      </w:r>
      <w:r>
        <w:rPr>
          <w:rFonts w:hint="eastAsia" w:ascii="楷体" w:hAnsi="楷体" w:eastAsia="楷体" w:cs="楷体"/>
          <w:b/>
          <w:bCs/>
          <w:sz w:val="32"/>
          <w:szCs w:val="32"/>
          <w:highlight w:val="none"/>
        </w:rPr>
        <w:t>万元。包括：</w:t>
      </w:r>
    </w:p>
    <w:p>
      <w:pPr>
        <w:pStyle w:val="10"/>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1．本年支出合计</w:t>
      </w:r>
      <w:r>
        <w:rPr>
          <w:rFonts w:hint="eastAsia" w:eastAsia="仿宋_GB2312"/>
          <w:sz w:val="32"/>
          <w:szCs w:val="32"/>
          <w:highlight w:val="none"/>
          <w:u w:val="single"/>
          <w:lang w:val="en-US" w:eastAsia="zh-CN"/>
        </w:rPr>
        <w:t>431.79</w:t>
      </w:r>
      <w:r>
        <w:rPr>
          <w:rFonts w:eastAsia="仿宋_GB2312"/>
          <w:sz w:val="32"/>
          <w:szCs w:val="32"/>
          <w:highlight w:val="none"/>
        </w:rPr>
        <w:t>万元。</w:t>
      </w:r>
    </w:p>
    <w:p>
      <w:pPr>
        <w:pStyle w:val="10"/>
        <w:tabs>
          <w:tab w:val="left" w:pos="3288"/>
          <w:tab w:val="left" w:pos="5641"/>
          <w:tab w:val="left" w:pos="6778"/>
        </w:tabs>
        <w:spacing w:after="0" w:line="600" w:lineRule="exact"/>
        <w:ind w:firstLine="640" w:firstLineChars="200"/>
        <w:rPr>
          <w:rFonts w:eastAsia="仿宋_GB2312"/>
          <w:sz w:val="32"/>
          <w:szCs w:val="32"/>
          <w:highlight w:val="none"/>
        </w:rPr>
      </w:pPr>
      <w:r>
        <w:rPr>
          <w:rFonts w:eastAsia="仿宋_GB2312"/>
          <w:sz w:val="32"/>
          <w:szCs w:val="32"/>
          <w:highlight w:val="none"/>
        </w:rPr>
        <w:t>（1）一般公共服务（类）支出</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lang w:eastAsia="zh-CN"/>
        </w:rPr>
        <w:t>，</w:t>
      </w:r>
      <w:r>
        <w:rPr>
          <w:rFonts w:hint="eastAsia" w:eastAsia="仿宋_GB2312"/>
          <w:sz w:val="32"/>
          <w:szCs w:val="32"/>
          <w:highlight w:val="none"/>
          <w:lang w:val="en-US" w:eastAsia="zh-CN"/>
        </w:rPr>
        <w:t>主要用于无</w:t>
      </w:r>
      <w:r>
        <w:rPr>
          <w:rFonts w:eastAsia="仿宋_GB2312"/>
          <w:sz w:val="32"/>
          <w:szCs w:val="32"/>
          <w:highlight w:val="none"/>
        </w:rPr>
        <w:t>。与上年相比增加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本单位</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（2）公共安全（类）支出</w:t>
      </w:r>
      <w:r>
        <w:rPr>
          <w:rFonts w:hint="eastAsia" w:ascii="Times New Roman" w:hAnsi="Times New Roman" w:eastAsia="仿宋_GB2312" w:cs="Times New Roman"/>
          <w:sz w:val="32"/>
          <w:szCs w:val="32"/>
          <w:highlight w:val="none"/>
          <w:u w:val="single"/>
          <w:lang w:val="en-US" w:eastAsia="zh-CN"/>
        </w:rPr>
        <w:t>0</w:t>
      </w:r>
      <w:r>
        <w:rPr>
          <w:rFonts w:ascii="Times New Roman" w:hAnsi="Times New Roman" w:eastAsia="仿宋_GB2312" w:cs="Times New Roman"/>
          <w:sz w:val="32"/>
          <w:szCs w:val="32"/>
          <w:highlight w:val="none"/>
        </w:rPr>
        <w:t>万元</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主要用于无</w:t>
      </w:r>
      <w:r>
        <w:rPr>
          <w:rFonts w:ascii="Times New Roman" w:hAnsi="Times New Roman" w:eastAsia="仿宋_GB2312" w:cs="Times New Roman"/>
          <w:sz w:val="32"/>
          <w:szCs w:val="32"/>
          <w:highlight w:val="none"/>
        </w:rPr>
        <w:t>。与上年相比增加</w:t>
      </w:r>
      <w:r>
        <w:rPr>
          <w:rFonts w:hint="eastAsia" w:ascii="Times New Roman" w:hAnsi="Times New Roman" w:eastAsia="仿宋_GB2312" w:cs="Times New Roman"/>
          <w:sz w:val="32"/>
          <w:szCs w:val="32"/>
          <w:highlight w:val="none"/>
          <w:u w:val="single"/>
          <w:lang w:val="en-US" w:eastAsia="zh-CN"/>
        </w:rPr>
        <w:t>0</w:t>
      </w:r>
      <w:r>
        <w:rPr>
          <w:rFonts w:ascii="Times New Roman" w:hAnsi="Times New Roman" w:eastAsia="仿宋_GB2312" w:cs="Times New Roman"/>
          <w:sz w:val="32"/>
          <w:szCs w:val="32"/>
          <w:highlight w:val="none"/>
        </w:rPr>
        <w:t>万元，增长</w:t>
      </w:r>
      <w:r>
        <w:rPr>
          <w:rFonts w:hint="eastAsia" w:ascii="Times New Roman" w:hAnsi="Times New Roman" w:eastAsia="仿宋_GB2312" w:cs="Times New Roman"/>
          <w:sz w:val="32"/>
          <w:szCs w:val="32"/>
          <w:highlight w:val="none"/>
          <w:u w:val="single"/>
          <w:lang w:val="en-US" w:eastAsia="zh-CN"/>
        </w:rPr>
        <w:t>0</w:t>
      </w:r>
      <w:r>
        <w:rPr>
          <w:rFonts w:hint="eastAsia" w:ascii="Times New Roman" w:hAnsi="Times New Roman" w:eastAsia="仿宋_GB2312" w:cs="Times New Roman"/>
          <w:sz w:val="32"/>
          <w:szCs w:val="32"/>
          <w:highlight w:val="none"/>
          <w:lang w:eastAsia="zh-CN"/>
        </w:rPr>
        <w:t>%</w:t>
      </w:r>
      <w:r>
        <w:rPr>
          <w:rFonts w:ascii="Times New Roman" w:hAnsi="Times New Roman" w:eastAsia="仿宋_GB2312" w:cs="Times New Roman"/>
          <w:sz w:val="32"/>
          <w:szCs w:val="32"/>
          <w:highlight w:val="none"/>
        </w:rPr>
        <w:t>。主要原因是</w:t>
      </w:r>
      <w:r>
        <w:rPr>
          <w:rFonts w:hint="eastAsia" w:ascii="仿宋_GB2312" w:hAnsi="仿宋_GB2312" w:eastAsia="仿宋_GB2312"/>
          <w:sz w:val="32"/>
          <w:szCs w:val="32"/>
          <w:highlight w:val="none"/>
          <w:lang w:val="en-US" w:eastAsia="zh-CN"/>
        </w:rPr>
        <w:t>本单位</w:t>
      </w:r>
      <w:r>
        <w:rPr>
          <w:rFonts w:hint="eastAsia" w:ascii="仿宋_GB2312" w:hAnsi="仿宋_GB2312" w:eastAsia="仿宋_GB2312"/>
          <w:sz w:val="32"/>
          <w:szCs w:val="24"/>
          <w:highlight w:val="none"/>
        </w:rPr>
        <w:t>不存在此项内容</w:t>
      </w:r>
      <w:r>
        <w:rPr>
          <w:rFonts w:ascii="Times New Roman" w:hAnsi="Times New Roman" w:eastAsia="仿宋_GB2312" w:cs="Times New Roman"/>
          <w:sz w:val="32"/>
          <w:szCs w:val="32"/>
          <w:highlight w:val="none"/>
        </w:rPr>
        <w:t>。</w:t>
      </w:r>
    </w:p>
    <w:p>
      <w:pPr>
        <w:pStyle w:val="10"/>
        <w:tabs>
          <w:tab w:val="left" w:pos="3288"/>
          <w:tab w:val="left" w:pos="5641"/>
          <w:tab w:val="left" w:pos="6778"/>
        </w:tabs>
        <w:spacing w:after="0"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科学技术（类）支出</w:t>
      </w:r>
      <w:r>
        <w:rPr>
          <w:rFonts w:hint="eastAsia" w:eastAsia="仿宋_GB2312" w:cs="Times New Roman"/>
          <w:sz w:val="32"/>
          <w:szCs w:val="32"/>
          <w:highlight w:val="none"/>
          <w:lang w:val="en-US" w:eastAsia="zh-CN"/>
        </w:rPr>
        <w:t>376.14</w:t>
      </w:r>
      <w:r>
        <w:rPr>
          <w:rFonts w:hint="eastAsia"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，主要用于科协及所属单位机构运行、科普活动开展</w:t>
      </w:r>
      <w:r>
        <w:rPr>
          <w:rFonts w:hint="eastAsia" w:ascii="Times New Roman" w:hAnsi="Times New Roman" w:eastAsia="仿宋_GB2312" w:cs="Times New Roman"/>
          <w:sz w:val="32"/>
          <w:szCs w:val="32"/>
          <w:highlight w:val="none"/>
          <w:lang w:val="en-US" w:eastAsia="zh-CN"/>
        </w:rPr>
        <w:t>。与上年相比增加</w:t>
      </w:r>
      <w:r>
        <w:rPr>
          <w:rFonts w:hint="eastAsia" w:eastAsia="仿宋_GB2312" w:cs="Times New Roman"/>
          <w:sz w:val="32"/>
          <w:szCs w:val="32"/>
          <w:highlight w:val="none"/>
          <w:lang w:val="en-US" w:eastAsia="zh-CN"/>
        </w:rPr>
        <w:t>140.16</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lang w:val="en-US" w:eastAsia="zh-CN"/>
        </w:rPr>
        <w:t>59.39</w:t>
      </w:r>
      <w:r>
        <w:rPr>
          <w:rFonts w:hint="eastAsia" w:ascii="Times New Roman" w:hAnsi="Times New Roman" w:eastAsia="仿宋_GB2312" w:cs="Times New Roman"/>
          <w:sz w:val="32"/>
          <w:szCs w:val="32"/>
          <w:highlight w:val="none"/>
          <w:lang w:val="en-US" w:eastAsia="zh-CN"/>
        </w:rPr>
        <w:t>%。主要原因是人员和项目经费增加。</w:t>
      </w:r>
    </w:p>
    <w:p>
      <w:pPr>
        <w:pStyle w:val="10"/>
        <w:tabs>
          <w:tab w:val="left" w:pos="3288"/>
          <w:tab w:val="left" w:pos="5641"/>
          <w:tab w:val="left" w:pos="6778"/>
        </w:tabs>
        <w:spacing w:after="0"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（4）社会保障和就业（类）支出</w:t>
      </w:r>
      <w:r>
        <w:rPr>
          <w:rFonts w:hint="eastAsia" w:eastAsia="仿宋_GB2312" w:cs="Times New Roman"/>
          <w:sz w:val="32"/>
          <w:szCs w:val="32"/>
          <w:highlight w:val="none"/>
          <w:lang w:val="en-US" w:eastAsia="zh-CN"/>
        </w:rPr>
        <w:t>30.70</w:t>
      </w:r>
      <w:r>
        <w:rPr>
          <w:rFonts w:hint="eastAsia"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rPr>
        <w:t>主要用于</w:t>
      </w:r>
      <w:r>
        <w:rPr>
          <w:rFonts w:hint="eastAsia" w:ascii="Times New Roman" w:hAnsi="Times New Roman" w:eastAsia="仿宋_GB2312" w:cs="Times New Roman"/>
          <w:sz w:val="32"/>
          <w:szCs w:val="32"/>
          <w:highlight w:val="none"/>
          <w:lang w:eastAsia="zh-CN"/>
        </w:rPr>
        <w:t>科协</w:t>
      </w:r>
      <w:r>
        <w:rPr>
          <w:rFonts w:hint="eastAsia" w:ascii="Times New Roman" w:hAnsi="Times New Roman" w:eastAsia="仿宋_GB2312" w:cs="Times New Roman"/>
          <w:sz w:val="32"/>
          <w:szCs w:val="32"/>
          <w:highlight w:val="none"/>
          <w:lang w:val="en-US" w:eastAsia="zh-CN"/>
        </w:rPr>
        <w:t>及所属单位</w:t>
      </w:r>
      <w:r>
        <w:rPr>
          <w:rFonts w:hint="eastAsia" w:ascii="Times New Roman" w:hAnsi="Times New Roman" w:eastAsia="仿宋_GB2312" w:cs="Times New Roman"/>
          <w:sz w:val="32"/>
          <w:szCs w:val="32"/>
          <w:highlight w:val="none"/>
        </w:rPr>
        <w:t>基本养老保险缴费支出</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其他社会保障和就业支出。与上年相比增加</w:t>
      </w:r>
      <w:r>
        <w:rPr>
          <w:rFonts w:hint="eastAsia" w:eastAsia="仿宋_GB2312" w:cs="Times New Roman"/>
          <w:sz w:val="32"/>
          <w:szCs w:val="32"/>
          <w:highlight w:val="none"/>
          <w:lang w:val="en-US" w:eastAsia="zh-CN"/>
        </w:rPr>
        <w:t>3.48</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lang w:val="en-US" w:eastAsia="zh-CN"/>
        </w:rPr>
        <w:t>12.78</w:t>
      </w:r>
      <w:r>
        <w:rPr>
          <w:rFonts w:hint="eastAsia" w:ascii="Times New Roman" w:hAnsi="Times New Roman" w:eastAsia="仿宋_GB2312" w:cs="Times New Roman"/>
          <w:sz w:val="32"/>
          <w:szCs w:val="32"/>
          <w:highlight w:val="none"/>
          <w:lang w:val="en-US" w:eastAsia="zh-CN"/>
        </w:rPr>
        <w:t>%。主要原因是养老保险增加。</w:t>
      </w:r>
    </w:p>
    <w:p>
      <w:pPr>
        <w:pStyle w:val="10"/>
        <w:numPr>
          <w:ilvl w:val="0"/>
          <w:numId w:val="2"/>
        </w:numPr>
        <w:tabs>
          <w:tab w:val="left" w:pos="3288"/>
          <w:tab w:val="left" w:pos="5641"/>
          <w:tab w:val="left" w:pos="6778"/>
        </w:tabs>
        <w:spacing w:after="0"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卫生健康（类）支出</w:t>
      </w:r>
      <w:r>
        <w:rPr>
          <w:rFonts w:hint="eastAsia" w:eastAsia="仿宋_GB2312" w:cs="Times New Roman"/>
          <w:sz w:val="32"/>
          <w:szCs w:val="32"/>
          <w:highlight w:val="none"/>
          <w:lang w:val="en-US" w:eastAsia="zh-CN"/>
        </w:rPr>
        <w:t>10.55</w:t>
      </w:r>
      <w:r>
        <w:rPr>
          <w:rFonts w:hint="eastAsia"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主要用于科协及所属单位</w:t>
      </w:r>
      <w:r>
        <w:rPr>
          <w:rFonts w:hint="eastAsia" w:ascii="Times New Roman" w:hAnsi="Times New Roman" w:eastAsia="仿宋_GB2312" w:cs="Times New Roman"/>
          <w:sz w:val="32"/>
          <w:szCs w:val="32"/>
          <w:highlight w:val="none"/>
        </w:rPr>
        <w:t>缴纳医疗保险费</w:t>
      </w:r>
      <w:r>
        <w:rPr>
          <w:rFonts w:hint="eastAsia" w:ascii="Times New Roman" w:hAnsi="Times New Roman" w:eastAsia="仿宋_GB2312" w:cs="Times New Roman"/>
          <w:sz w:val="32"/>
          <w:szCs w:val="32"/>
          <w:highlight w:val="none"/>
          <w:lang w:val="en-US" w:eastAsia="zh-CN"/>
        </w:rPr>
        <w:t>。与上年相比</w:t>
      </w:r>
      <w:r>
        <w:rPr>
          <w:rFonts w:hint="eastAsia" w:eastAsia="仿宋_GB2312" w:cs="Times New Roman"/>
          <w:sz w:val="32"/>
          <w:szCs w:val="32"/>
          <w:highlight w:val="none"/>
          <w:lang w:val="en-US" w:eastAsia="zh-CN"/>
        </w:rPr>
        <w:t>增加1.47</w:t>
      </w:r>
      <w:r>
        <w:rPr>
          <w:rFonts w:hint="eastAsia"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增长16.19</w:t>
      </w:r>
      <w:r>
        <w:rPr>
          <w:rFonts w:hint="eastAsia" w:ascii="Times New Roman" w:hAnsi="Times New Roman" w:eastAsia="仿宋_GB2312" w:cs="Times New Roman"/>
          <w:sz w:val="32"/>
          <w:szCs w:val="32"/>
          <w:highlight w:val="none"/>
          <w:lang w:val="en-US" w:eastAsia="zh-CN"/>
        </w:rPr>
        <w:t>%。主要原因是</w:t>
      </w:r>
      <w:r>
        <w:rPr>
          <w:rFonts w:hint="eastAsia" w:eastAsia="仿宋_GB2312" w:cs="Times New Roman"/>
          <w:sz w:val="32"/>
          <w:szCs w:val="32"/>
          <w:highlight w:val="none"/>
          <w:lang w:val="en-US" w:eastAsia="zh-CN"/>
        </w:rPr>
        <w:t>人员增加</w:t>
      </w:r>
      <w:r>
        <w:rPr>
          <w:rFonts w:hint="eastAsia" w:ascii="Times New Roman" w:hAnsi="Times New Roman" w:eastAsia="仿宋_GB2312" w:cs="Times New Roman"/>
          <w:sz w:val="32"/>
          <w:szCs w:val="32"/>
          <w:highlight w:val="none"/>
          <w:lang w:val="en-US" w:eastAsia="zh-CN"/>
        </w:rPr>
        <w:t>。</w:t>
      </w:r>
    </w:p>
    <w:p>
      <w:pPr>
        <w:pStyle w:val="10"/>
        <w:numPr>
          <w:ilvl w:val="0"/>
          <w:numId w:val="2"/>
        </w:numPr>
        <w:tabs>
          <w:tab w:val="left" w:pos="3288"/>
          <w:tab w:val="left" w:pos="5641"/>
          <w:tab w:val="left" w:pos="6778"/>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住房保障（类）支出</w:t>
      </w:r>
      <w:r>
        <w:rPr>
          <w:rFonts w:hint="eastAsia" w:eastAsia="仿宋_GB2312" w:cs="Times New Roman"/>
          <w:sz w:val="32"/>
          <w:szCs w:val="32"/>
          <w:highlight w:val="none"/>
          <w:lang w:val="en-US" w:eastAsia="zh-CN"/>
        </w:rPr>
        <w:t>14.40</w:t>
      </w:r>
      <w:r>
        <w:rPr>
          <w:rFonts w:hint="eastAsia"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主要用于科协及所属单位</w:t>
      </w:r>
      <w:r>
        <w:rPr>
          <w:rFonts w:hint="eastAsia" w:ascii="Times New Roman" w:hAnsi="Times New Roman" w:eastAsia="仿宋_GB2312" w:cs="Times New Roman"/>
          <w:sz w:val="32"/>
          <w:szCs w:val="32"/>
          <w:highlight w:val="none"/>
        </w:rPr>
        <w:t>按照国家政策规定为职工缴纳的住房公积金</w:t>
      </w:r>
      <w:r>
        <w:rPr>
          <w:rFonts w:hint="eastAsia" w:ascii="Times New Roman" w:hAnsi="Times New Roman" w:eastAsia="仿宋_GB2312" w:cs="Times New Roman"/>
          <w:sz w:val="32"/>
          <w:szCs w:val="32"/>
          <w:highlight w:val="none"/>
          <w:lang w:val="en-US" w:eastAsia="zh-CN"/>
        </w:rPr>
        <w:t>。与上年相比增加</w:t>
      </w:r>
      <w:r>
        <w:rPr>
          <w:rFonts w:hint="eastAsia" w:eastAsia="仿宋_GB2312" w:cs="Times New Roman"/>
          <w:sz w:val="32"/>
          <w:szCs w:val="32"/>
          <w:highlight w:val="none"/>
          <w:lang w:val="en-US" w:eastAsia="zh-CN"/>
        </w:rPr>
        <w:t>2.38</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lang w:val="en-US" w:eastAsia="zh-CN"/>
        </w:rPr>
        <w:t>19.8</w:t>
      </w:r>
      <w:r>
        <w:rPr>
          <w:rFonts w:hint="eastAsia" w:ascii="Times New Roman" w:hAnsi="Times New Roman" w:eastAsia="仿宋_GB2312" w:cs="Times New Roman"/>
          <w:sz w:val="32"/>
          <w:szCs w:val="32"/>
          <w:highlight w:val="none"/>
          <w:lang w:val="en-US" w:eastAsia="zh-CN"/>
        </w:rPr>
        <w:t>%。主要原因是</w:t>
      </w:r>
      <w:r>
        <w:rPr>
          <w:rFonts w:hint="eastAsia" w:eastAsia="仿宋_GB2312" w:cs="Times New Roman"/>
          <w:sz w:val="32"/>
          <w:szCs w:val="32"/>
          <w:highlight w:val="none"/>
          <w:lang w:val="en-US" w:eastAsia="zh-CN"/>
        </w:rPr>
        <w:t>人员增加。</w:t>
      </w:r>
    </w:p>
    <w:p>
      <w:pPr>
        <w:pStyle w:val="10"/>
        <w:tabs>
          <w:tab w:val="left" w:pos="4112"/>
        </w:tabs>
        <w:spacing w:after="0" w:line="600" w:lineRule="exact"/>
        <w:ind w:firstLine="640" w:firstLineChars="200"/>
        <w:rPr>
          <w:rFonts w:eastAsia="仿宋_GB2312"/>
          <w:sz w:val="32"/>
          <w:szCs w:val="32"/>
          <w:highlight w:val="none"/>
        </w:rPr>
      </w:pPr>
      <w:r>
        <w:rPr>
          <w:rFonts w:eastAsia="仿宋_GB2312"/>
          <w:sz w:val="32"/>
          <w:szCs w:val="32"/>
          <w:highlight w:val="none"/>
        </w:rPr>
        <w:t>2．年终结转结余</w:t>
      </w:r>
      <w:r>
        <w:rPr>
          <w:rFonts w:hint="eastAsia" w:eastAsia="仿宋_GB2312"/>
          <w:sz w:val="32"/>
          <w:szCs w:val="32"/>
          <w:highlight w:val="none"/>
          <w:u w:val="single"/>
          <w:lang w:val="en-US" w:eastAsia="zh-CN"/>
        </w:rPr>
        <w:t>0</w:t>
      </w:r>
      <w:r>
        <w:rPr>
          <w:rFonts w:eastAsia="仿宋_GB2312"/>
          <w:sz w:val="32"/>
          <w:szCs w:val="32"/>
          <w:highlight w:val="none"/>
        </w:rPr>
        <w:t>万元，主要原因是</w:t>
      </w:r>
      <w:r>
        <w:rPr>
          <w:rFonts w:hint="eastAsia" w:ascii="仿宋_GB2312" w:hAnsi="仿宋_GB2312" w:eastAsia="仿宋_GB2312"/>
          <w:sz w:val="32"/>
          <w:szCs w:val="32"/>
          <w:highlight w:val="none"/>
          <w:lang w:val="en-US" w:eastAsia="zh-CN"/>
        </w:rPr>
        <w:t>本单位</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二、收入预算情况说明</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通辽市科学技术协会本级</w:t>
      </w:r>
      <w:r>
        <w:rPr>
          <w:rFonts w:hint="eastAsia" w:ascii="仿宋_GB2312" w:hAnsi="仿宋_GB2312" w:eastAsia="仿宋_GB2312" w:cs="仿宋"/>
          <w:sz w:val="32"/>
          <w:szCs w:val="32"/>
          <w:highlight w:val="none"/>
          <w:lang w:val="en-US" w:eastAsia="zh-CN"/>
        </w:rPr>
        <w:t>2024</w:t>
      </w:r>
      <w:r>
        <w:rPr>
          <w:rFonts w:hint="eastAsia" w:ascii="仿宋_GB2312" w:hAnsi="仿宋_GB2312" w:eastAsia="仿宋_GB2312" w:cs="仿宋_GB2312"/>
          <w:sz w:val="32"/>
          <w:szCs w:val="32"/>
          <w:highlight w:val="none"/>
        </w:rPr>
        <w:t>年度</w:t>
      </w:r>
      <w:r>
        <w:rPr>
          <w:rFonts w:eastAsia="仿宋_GB2312"/>
          <w:sz w:val="32"/>
          <w:szCs w:val="32"/>
          <w:highlight w:val="none"/>
        </w:rPr>
        <w:t>收入预算</w:t>
      </w:r>
      <w:r>
        <w:rPr>
          <w:rFonts w:hint="eastAsia" w:eastAsia="仿宋_GB2312"/>
          <w:sz w:val="32"/>
          <w:szCs w:val="32"/>
          <w:highlight w:val="none"/>
          <w:lang w:val="en-US" w:eastAsia="zh-CN"/>
        </w:rPr>
        <w:t>总</w:t>
      </w:r>
      <w:r>
        <w:rPr>
          <w:rFonts w:eastAsia="仿宋_GB2312"/>
          <w:sz w:val="32"/>
          <w:szCs w:val="32"/>
          <w:highlight w:val="none"/>
        </w:rPr>
        <w:t>计</w:t>
      </w:r>
      <w:r>
        <w:rPr>
          <w:rFonts w:eastAsia="仿宋_GB2312"/>
          <w:sz w:val="32"/>
          <w:szCs w:val="32"/>
          <w:highlight w:val="none"/>
          <w:u w:val="single"/>
        </w:rPr>
        <w:tab/>
      </w:r>
      <w:r>
        <w:rPr>
          <w:rFonts w:hint="eastAsia" w:eastAsia="仿宋_GB2312"/>
          <w:sz w:val="32"/>
          <w:szCs w:val="32"/>
          <w:highlight w:val="none"/>
          <w:u w:val="single"/>
          <w:lang w:val="en-US" w:eastAsia="zh-CN"/>
        </w:rPr>
        <w:t>431.79</w:t>
      </w:r>
      <w:r>
        <w:rPr>
          <w:rFonts w:eastAsia="仿宋_GB2312"/>
          <w:sz w:val="32"/>
          <w:szCs w:val="32"/>
          <w:highlight w:val="none"/>
        </w:rPr>
        <w:t>万元，包括本年收入</w:t>
      </w:r>
      <w:r>
        <w:rPr>
          <w:rFonts w:hint="eastAsia" w:eastAsia="仿宋_GB2312"/>
          <w:sz w:val="32"/>
          <w:szCs w:val="32"/>
          <w:highlight w:val="none"/>
          <w:u w:val="single"/>
          <w:lang w:val="en-US" w:eastAsia="zh-CN"/>
        </w:rPr>
        <w:t>431.79</w:t>
      </w:r>
      <w:r>
        <w:rPr>
          <w:rFonts w:eastAsia="仿宋_GB2312"/>
          <w:sz w:val="32"/>
          <w:szCs w:val="32"/>
          <w:highlight w:val="none"/>
        </w:rPr>
        <w:t>万元，上年结转结余</w:t>
      </w:r>
      <w:r>
        <w:rPr>
          <w:rFonts w:hint="eastAsia" w:eastAsia="仿宋_GB2312"/>
          <w:sz w:val="32"/>
          <w:szCs w:val="32"/>
          <w:highlight w:val="none"/>
          <w:u w:val="single"/>
          <w:lang w:val="en-US" w:eastAsia="zh-CN"/>
        </w:rPr>
        <w:t>0</w:t>
      </w:r>
      <w:r>
        <w:rPr>
          <w:rFonts w:eastAsia="仿宋_GB2312"/>
          <w:sz w:val="32"/>
          <w:szCs w:val="32"/>
          <w:highlight w:val="none"/>
        </w:rPr>
        <w:t>万元。其中：</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本年一般公共预算收入</w:t>
      </w:r>
      <w:r>
        <w:rPr>
          <w:rFonts w:hint="eastAsia" w:eastAsia="仿宋_GB2312"/>
          <w:sz w:val="32"/>
          <w:szCs w:val="32"/>
          <w:highlight w:val="none"/>
          <w:u w:val="single"/>
          <w:lang w:val="en-US" w:eastAsia="zh-CN"/>
        </w:rPr>
        <w:t>431.79</w:t>
      </w:r>
      <w:r>
        <w:rPr>
          <w:rFonts w:eastAsia="仿宋_GB2312"/>
          <w:sz w:val="32"/>
          <w:szCs w:val="32"/>
          <w:highlight w:val="none"/>
        </w:rPr>
        <w:t>万元，占</w:t>
      </w:r>
      <w:r>
        <w:rPr>
          <w:rFonts w:hint="eastAsia" w:eastAsia="仿宋_GB2312"/>
          <w:sz w:val="32"/>
          <w:szCs w:val="32"/>
          <w:highlight w:val="none"/>
          <w:u w:val="single"/>
          <w:lang w:val="en-US" w:eastAsia="zh-CN"/>
        </w:rPr>
        <w:t>100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本年政府性基金预算收入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本年国有资本经营预算收入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本年财政专户管理资金</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本年事业单位经营收入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本年上级补助收入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本年附属单位上缴收入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本年其他收入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上年结转结余的一般公共预算收入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上年结转结余的政府性基金预算收入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上年结转结余的国有资本经营预算收入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上年结转结余的财政专户管理资金</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上年结转结余的单位资金</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r>
        <w:rPr>
          <w:rFonts w:hint="eastAsia" w:eastAsia="仿宋_GB2312"/>
          <w:sz w:val="32"/>
          <w:szCs w:val="32"/>
          <w:highlight w:val="none"/>
          <w:lang w:eastAsia="zh-CN"/>
        </w:rPr>
        <w:t>。</w:t>
      </w:r>
    </w:p>
    <w:p>
      <w:pPr>
        <w:pStyle w:val="2"/>
        <w:tabs>
          <w:tab w:val="left" w:pos="0"/>
        </w:tabs>
        <w:ind w:left="0" w:leftChars="0" w:firstLine="0"/>
        <w:jc w:val="center"/>
        <w:rPr>
          <w:rFonts w:eastAsia="仿宋_GB2312"/>
          <w:sz w:val="32"/>
          <w:szCs w:val="32"/>
          <w:highlight w:val="none"/>
        </w:rPr>
      </w:pPr>
    </w:p>
    <w:p>
      <w:pPr>
        <w:pStyle w:val="2"/>
        <w:tabs>
          <w:tab w:val="left" w:pos="0"/>
        </w:tabs>
        <w:ind w:left="0" w:leftChars="0" w:firstLine="0"/>
        <w:jc w:val="center"/>
        <w:rPr>
          <w:rFonts w:eastAsia="仿宋_GB2312"/>
          <w:sz w:val="32"/>
          <w:szCs w:val="32"/>
          <w:highlight w:val="none"/>
        </w:rPr>
      </w:pPr>
    </w:p>
    <w:p>
      <w:pPr>
        <w:pStyle w:val="2"/>
        <w:tabs>
          <w:tab w:val="left" w:pos="0"/>
        </w:tabs>
        <w:ind w:left="0" w:leftChars="0" w:firstLine="0"/>
        <w:jc w:val="center"/>
        <w:rPr>
          <w:rFonts w:hint="eastAsia" w:ascii="Times New Roman" w:hAnsi="Times New Roman" w:eastAsia="仿宋_GB2312" w:cs="仿宋"/>
          <w:sz w:val="32"/>
          <w:szCs w:val="32"/>
          <w:highlight w:val="none"/>
          <w:lang w:eastAsia="zh-CN"/>
        </w:rPr>
      </w:pPr>
      <w:r>
        <w:rPr>
          <w:rFonts w:eastAsia="仿宋_GB2312"/>
          <w:sz w:val="32"/>
          <w:szCs w:val="32"/>
          <w:highlight w:val="none"/>
        </w:rPr>
        <w:t>图1.收入预算图</w:t>
      </w:r>
    </w:p>
    <w:p>
      <w:pPr>
        <w:pStyle w:val="2"/>
        <w:tabs>
          <w:tab w:val="left" w:pos="0"/>
        </w:tabs>
        <w:ind w:left="0" w:leftChars="0" w:firstLine="0"/>
        <w:jc w:val="center"/>
        <w:rPr>
          <w:rFonts w:hint="eastAsia" w:ascii="Times New Roman" w:hAnsi="Times New Roman" w:eastAsia="仿宋_GB2312" w:cs="仿宋"/>
          <w:sz w:val="32"/>
          <w:szCs w:val="32"/>
          <w:highlight w:val="none"/>
          <w:lang w:eastAsia="zh-CN"/>
        </w:rPr>
      </w:pPr>
      <w:r>
        <w:rPr>
          <w:rFonts w:hint="eastAsia" w:ascii="Times New Roman" w:hAnsi="Times New Roman" w:eastAsia="仿宋_GB2312" w:cs="仿宋"/>
          <w:sz w:val="32"/>
          <w:szCs w:val="32"/>
          <w:highlight w:val="none"/>
          <w:lang w:eastAsia="zh-CN"/>
        </w:rPr>
        <w:drawing>
          <wp:inline distT="0" distB="0" distL="114300" distR="114300">
            <wp:extent cx="5080000" cy="3810000"/>
            <wp:effectExtent l="4445" t="4445" r="20955" b="52705"/>
            <wp:docPr id="2" name="图表 2" descr="7b0a202020202263686172745265734964223a202232303437303930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三、支出预算情况说明</w:t>
      </w:r>
    </w:p>
    <w:p>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hint="eastAsia" w:ascii="仿宋_GB2312" w:hAnsi="仿宋_GB2312" w:eastAsia="仿宋_GB2312" w:cs="仿宋"/>
          <w:sz w:val="32"/>
          <w:szCs w:val="32"/>
          <w:highlight w:val="none"/>
          <w:u w:val="single"/>
          <w:lang w:val="en-US" w:eastAsia="zh-CN"/>
        </w:rPr>
        <w:t>通辽市科学技术协会本级</w:t>
      </w:r>
      <w:r>
        <w:rPr>
          <w:rFonts w:hint="eastAsia" w:ascii="仿宋_GB2312" w:hAnsi="仿宋_GB2312" w:eastAsia="仿宋_GB2312" w:cs="仿宋"/>
          <w:sz w:val="32"/>
          <w:szCs w:val="32"/>
          <w:highlight w:val="none"/>
          <w:lang w:val="en-US" w:eastAsia="zh-CN"/>
        </w:rPr>
        <w:t>2024</w:t>
      </w:r>
      <w:r>
        <w:rPr>
          <w:rFonts w:hint="eastAsia" w:ascii="仿宋_GB2312" w:hAnsi="仿宋_GB2312" w:eastAsia="仿宋_GB2312" w:cs="仿宋_GB2312"/>
          <w:sz w:val="32"/>
          <w:szCs w:val="32"/>
          <w:highlight w:val="none"/>
        </w:rPr>
        <w:t>年度</w:t>
      </w:r>
      <w:r>
        <w:rPr>
          <w:rFonts w:eastAsia="仿宋_GB2312"/>
          <w:sz w:val="32"/>
          <w:szCs w:val="32"/>
          <w:highlight w:val="none"/>
        </w:rPr>
        <w:t>支出预算合计</w:t>
      </w:r>
      <w:r>
        <w:rPr>
          <w:rFonts w:hint="eastAsia" w:eastAsia="仿宋_GB2312"/>
          <w:sz w:val="32"/>
          <w:szCs w:val="32"/>
          <w:highlight w:val="none"/>
          <w:u w:val="single"/>
          <w:lang w:val="en-US" w:eastAsia="zh-CN"/>
        </w:rPr>
        <w:t>431.79</w:t>
      </w:r>
      <w:r>
        <w:rPr>
          <w:rFonts w:eastAsia="仿宋_GB2312"/>
          <w:sz w:val="32"/>
          <w:szCs w:val="32"/>
          <w:highlight w:val="none"/>
        </w:rPr>
        <w:t>万元，其中</w:t>
      </w:r>
      <w:r>
        <w:rPr>
          <w:rFonts w:hint="eastAsia" w:eastAsia="仿宋_GB2312"/>
          <w:sz w:val="32"/>
          <w:szCs w:val="32"/>
          <w:highlight w:val="none"/>
          <w:lang w:eastAsia="zh-CN"/>
        </w:rPr>
        <w:t>：</w:t>
      </w:r>
    </w:p>
    <w:p>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基本支出</w:t>
      </w:r>
      <w:r>
        <w:rPr>
          <w:rFonts w:hint="eastAsia" w:eastAsia="仿宋_GB2312"/>
          <w:sz w:val="32"/>
          <w:szCs w:val="32"/>
          <w:highlight w:val="none"/>
          <w:u w:val="single"/>
          <w:lang w:val="en-US" w:eastAsia="zh-CN"/>
        </w:rPr>
        <w:t>188.99</w:t>
      </w:r>
      <w:r>
        <w:rPr>
          <w:rFonts w:eastAsia="仿宋_GB2312"/>
          <w:sz w:val="32"/>
          <w:szCs w:val="32"/>
          <w:highlight w:val="none"/>
        </w:rPr>
        <w:t>万元，占</w:t>
      </w:r>
      <w:r>
        <w:rPr>
          <w:rFonts w:hint="eastAsia" w:eastAsia="仿宋_GB2312"/>
          <w:sz w:val="32"/>
          <w:szCs w:val="32"/>
          <w:highlight w:val="none"/>
          <w:u w:val="single"/>
          <w:lang w:val="en-US" w:eastAsia="zh-CN"/>
        </w:rPr>
        <w:t>43.77</w:t>
      </w:r>
      <w:r>
        <w:rPr>
          <w:rFonts w:hint="eastAsia" w:ascii="仿宋_GB2312" w:hAnsi="仿宋_GB2312" w:eastAsia="仿宋_GB2312"/>
          <w:sz w:val="32"/>
          <w:szCs w:val="32"/>
          <w:highlight w:val="none"/>
          <w:lang w:eastAsia="zh-CN"/>
        </w:rPr>
        <w:t>%</w:t>
      </w:r>
      <w:r>
        <w:rPr>
          <w:rFonts w:hint="eastAsia" w:eastAsia="仿宋_GB2312"/>
          <w:sz w:val="32"/>
          <w:szCs w:val="32"/>
          <w:highlight w:val="none"/>
          <w:lang w:eastAsia="zh-CN"/>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项目支出</w:t>
      </w:r>
      <w:r>
        <w:rPr>
          <w:rFonts w:hint="eastAsia" w:eastAsia="仿宋_GB2312"/>
          <w:sz w:val="32"/>
          <w:szCs w:val="32"/>
          <w:highlight w:val="none"/>
          <w:u w:val="single"/>
          <w:lang w:val="en-US" w:eastAsia="zh-CN"/>
        </w:rPr>
        <w:t>242.80</w:t>
      </w:r>
      <w:r>
        <w:rPr>
          <w:rFonts w:eastAsia="仿宋_GB2312"/>
          <w:sz w:val="32"/>
          <w:szCs w:val="32"/>
          <w:highlight w:val="none"/>
        </w:rPr>
        <w:t>万元，占</w:t>
      </w:r>
      <w:r>
        <w:rPr>
          <w:rFonts w:hint="eastAsia" w:eastAsia="仿宋_GB2312"/>
          <w:sz w:val="32"/>
          <w:szCs w:val="32"/>
          <w:highlight w:val="none"/>
          <w:u w:val="single"/>
          <w:lang w:val="en-US" w:eastAsia="zh-CN"/>
        </w:rPr>
        <w:t>56.23</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eastAsia="仿宋_GB2312"/>
          <w:sz w:val="32"/>
          <w:szCs w:val="32"/>
          <w:highlight w:val="none"/>
        </w:rPr>
        <w:t>事业单位经营支出</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上缴上级支出</w:t>
      </w:r>
      <w:r>
        <w:rPr>
          <w:rFonts w:eastAsia="仿宋_GB2312"/>
          <w:sz w:val="32"/>
          <w:szCs w:val="32"/>
          <w:highlight w:val="none"/>
        </w:rPr>
        <w:tab/>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对附属单位补助支出</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hint="default" w:eastAsia="仿宋_GB2312"/>
          <w:sz w:val="32"/>
          <w:szCs w:val="32"/>
          <w:highlight w:val="none"/>
        </w:rPr>
      </w:pPr>
    </w:p>
    <w:p>
      <w:pPr>
        <w:pStyle w:val="2"/>
        <w:ind w:left="0" w:leftChars="0" w:firstLine="220"/>
        <w:jc w:val="center"/>
        <w:rPr>
          <w:rFonts w:hint="eastAsia" w:ascii="Times New Roman" w:hAnsi="Times New Roman" w:eastAsia="仿宋_GB2312" w:cs="仿宋"/>
          <w:sz w:val="32"/>
          <w:szCs w:val="32"/>
          <w:highlight w:val="none"/>
          <w:lang w:eastAsia="zh-CN"/>
        </w:rPr>
      </w:pPr>
      <w:r>
        <w:rPr>
          <w:rFonts w:eastAsia="仿宋_GB2312"/>
          <w:sz w:val="32"/>
          <w:szCs w:val="32"/>
          <w:highlight w:val="none"/>
        </w:rPr>
        <w:t>图2.支出预算图</w:t>
      </w:r>
    </w:p>
    <w:p>
      <w:pPr>
        <w:pStyle w:val="2"/>
        <w:ind w:left="0" w:leftChars="0" w:firstLine="220"/>
        <w:jc w:val="center"/>
        <w:rPr>
          <w:rFonts w:hint="eastAsia" w:ascii="Times New Roman" w:hAnsi="Times New Roman" w:eastAsia="仿宋_GB2312" w:cs="仿宋"/>
          <w:sz w:val="32"/>
          <w:szCs w:val="32"/>
          <w:highlight w:val="none"/>
          <w:lang w:eastAsia="zh-CN"/>
        </w:rPr>
      </w:pPr>
    </w:p>
    <w:p>
      <w:pPr>
        <w:pStyle w:val="2"/>
        <w:ind w:left="0" w:leftChars="0" w:firstLine="220"/>
        <w:jc w:val="center"/>
        <w:rPr>
          <w:rFonts w:hint="eastAsia" w:ascii="Times New Roman" w:hAnsi="Times New Roman" w:eastAsia="仿宋_GB2312" w:cs="仿宋"/>
          <w:sz w:val="32"/>
          <w:szCs w:val="32"/>
          <w:highlight w:val="none"/>
          <w:lang w:eastAsia="zh-CN"/>
        </w:rPr>
      </w:pPr>
    </w:p>
    <w:p>
      <w:pPr>
        <w:pStyle w:val="2"/>
        <w:ind w:left="0" w:leftChars="0" w:firstLine="220"/>
        <w:jc w:val="center"/>
        <w:rPr>
          <w:rFonts w:hint="eastAsia" w:ascii="Times New Roman" w:hAnsi="Times New Roman" w:eastAsia="仿宋_GB2312" w:cs="仿宋"/>
          <w:sz w:val="32"/>
          <w:szCs w:val="32"/>
          <w:highlight w:val="none"/>
          <w:lang w:eastAsia="zh-CN"/>
        </w:rPr>
      </w:pPr>
    </w:p>
    <w:p>
      <w:pPr>
        <w:pStyle w:val="2"/>
        <w:ind w:left="0" w:leftChars="0" w:firstLine="220"/>
        <w:jc w:val="center"/>
        <w:rPr>
          <w:rFonts w:hint="default" w:ascii="Times New Roman" w:hAnsi="Times New Roman" w:eastAsia="仿宋_GB2312" w:cs="仿宋"/>
          <w:sz w:val="32"/>
          <w:szCs w:val="32"/>
          <w:highlight w:val="none"/>
          <w:lang w:eastAsia="zh-CN"/>
        </w:rPr>
      </w:pPr>
      <w:r>
        <w:rPr>
          <w:rFonts w:hint="eastAsia" w:ascii="Times New Roman" w:hAnsi="Times New Roman" w:eastAsia="仿宋_GB2312" w:cs="仿宋"/>
          <w:sz w:val="32"/>
          <w:szCs w:val="32"/>
          <w:highlight w:val="none"/>
          <w:lang w:eastAsia="zh-CN"/>
        </w:rPr>
        <w:drawing>
          <wp:anchor distT="0" distB="0" distL="114300" distR="114300" simplePos="0" relativeHeight="251659264" behindDoc="0" locked="0" layoutInCell="1" allowOverlap="1">
            <wp:simplePos x="0" y="0"/>
            <wp:positionH relativeFrom="column">
              <wp:posOffset>191770</wp:posOffset>
            </wp:positionH>
            <wp:positionV relativeFrom="paragraph">
              <wp:posOffset>-55880</wp:posOffset>
            </wp:positionV>
            <wp:extent cx="5080000" cy="3810000"/>
            <wp:effectExtent l="4445" t="4445" r="20955" b="52705"/>
            <wp:wrapTopAndBottom/>
            <wp:docPr id="6" name="图表 6" descr="7b0a202020202263686172745265734964223a202232303437303930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lang w:eastAsia="zh-CN"/>
        </w:rPr>
      </w:pPr>
    </w:p>
    <w:p>
      <w:pPr>
        <w:spacing w:line="600" w:lineRule="exact"/>
        <w:ind w:left="6" w:leftChars="0" w:firstLine="633" w:firstLineChars="198"/>
        <w:outlineLvl w:val="2"/>
        <w:rPr>
          <w:rFonts w:eastAsia="黑体" w:cs="黑体"/>
          <w:sz w:val="32"/>
          <w:szCs w:val="36"/>
          <w:highlight w:val="none"/>
        </w:rPr>
      </w:pPr>
      <w:r>
        <w:rPr>
          <w:rFonts w:hint="eastAsia" w:eastAsia="黑体" w:cs="黑体"/>
          <w:sz w:val="32"/>
          <w:szCs w:val="36"/>
          <w:highlight w:val="none"/>
        </w:rPr>
        <w:t>四、财政拨款收支预算总体情况说明</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val="en-US" w:eastAsia="zh-CN"/>
        </w:rPr>
        <w:t>通辽市科学技术协会本级</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年度财政拨款收、支总预算</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431.79</w:t>
      </w:r>
      <w:r>
        <w:rPr>
          <w:rFonts w:eastAsia="仿宋_GB2312"/>
          <w:sz w:val="32"/>
          <w:szCs w:val="32"/>
          <w:highlight w:val="none"/>
        </w:rPr>
        <w:t>万元。与上年相比，财政拨款收、支总计各</w:t>
      </w:r>
      <w:r>
        <w:rPr>
          <w:rFonts w:hint="eastAsia" w:ascii="仿宋_GB2312" w:hAnsi="仿宋_GB2312" w:eastAsia="仿宋_GB2312" w:cs="仿宋_GB2312"/>
          <w:sz w:val="32"/>
          <w:szCs w:val="32"/>
          <w:highlight w:val="none"/>
          <w:u w:val="single"/>
          <w:lang w:val="en-US" w:eastAsia="zh-CN"/>
        </w:rPr>
        <w:t>147.48</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u w:val="single"/>
          <w:lang w:val="en-US" w:eastAsia="zh-CN"/>
        </w:rPr>
        <w:t>51.87</w:t>
      </w:r>
      <w:r>
        <w:rPr>
          <w:rFonts w:hint="eastAsia" w:ascii="仿宋_GB2312" w:hAnsi="仿宋_GB2312" w:eastAsia="仿宋_GB2312" w:cs="仿宋_GB2312"/>
          <w:sz w:val="32"/>
          <w:szCs w:val="32"/>
          <w:highlight w:val="none"/>
        </w:rPr>
        <w:t>%</w:t>
      </w:r>
      <w:r>
        <w:rPr>
          <w:rFonts w:eastAsia="仿宋_GB2312"/>
          <w:sz w:val="32"/>
          <w:szCs w:val="32"/>
          <w:highlight w:val="none"/>
        </w:rPr>
        <w:t>。主要原因是</w:t>
      </w:r>
      <w:r>
        <w:rPr>
          <w:rFonts w:hint="eastAsia" w:ascii="仿宋_GB2312" w:eastAsia="仿宋_GB2312"/>
          <w:sz w:val="32"/>
          <w:szCs w:val="32"/>
          <w:lang w:val="en-US" w:eastAsia="zh-CN"/>
        </w:rPr>
        <w:t>人员经费及项目经费增加</w:t>
      </w:r>
      <w:r>
        <w:rPr>
          <w:rFonts w:eastAsia="仿宋_GB2312"/>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五、一般公共预算支出预算情况说明</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通辽市科学技术协会本级</w:t>
      </w:r>
      <w:r>
        <w:rPr>
          <w:rFonts w:hint="eastAsia" w:ascii="仿宋_GB2312" w:hAnsi="仿宋_GB2312" w:eastAsia="仿宋_GB2312" w:cs="仿宋"/>
          <w:sz w:val="32"/>
          <w:szCs w:val="32"/>
          <w:highlight w:val="none"/>
          <w:lang w:val="en-US" w:eastAsia="zh-CN"/>
        </w:rPr>
        <w:t>2024</w:t>
      </w:r>
      <w:r>
        <w:rPr>
          <w:rFonts w:hint="eastAsia" w:ascii="仿宋_GB2312" w:hAnsi="仿宋_GB2312" w:eastAsia="仿宋_GB2312" w:cs="仿宋_GB2312"/>
          <w:sz w:val="32"/>
          <w:szCs w:val="32"/>
          <w:highlight w:val="none"/>
        </w:rPr>
        <w:t>年度</w:t>
      </w:r>
      <w:r>
        <w:rPr>
          <w:rFonts w:eastAsia="仿宋_GB2312"/>
          <w:sz w:val="32"/>
          <w:szCs w:val="32"/>
          <w:highlight w:val="none"/>
        </w:rPr>
        <w:t>一般公共预算财政拨款支出预算</w:t>
      </w:r>
      <w:r>
        <w:rPr>
          <w:rFonts w:hint="eastAsia" w:eastAsia="仿宋_GB2312"/>
          <w:sz w:val="32"/>
          <w:szCs w:val="32"/>
          <w:highlight w:val="none"/>
          <w:u w:val="single"/>
          <w:lang w:val="en-US" w:eastAsia="zh-CN"/>
        </w:rPr>
        <w:t>431.79</w:t>
      </w:r>
      <w:r>
        <w:rPr>
          <w:rFonts w:eastAsia="仿宋_GB2312"/>
          <w:sz w:val="32"/>
          <w:szCs w:val="32"/>
          <w:highlight w:val="none"/>
        </w:rPr>
        <w:t>万元，与上年相比增加</w:t>
      </w:r>
      <w:r>
        <w:rPr>
          <w:rFonts w:hint="eastAsia" w:eastAsia="仿宋_GB2312"/>
          <w:sz w:val="32"/>
          <w:szCs w:val="32"/>
          <w:highlight w:val="none"/>
          <w:u w:val="single"/>
          <w:lang w:val="en-US" w:eastAsia="zh-CN"/>
        </w:rPr>
        <w:t>147.48</w:t>
      </w:r>
      <w:r>
        <w:rPr>
          <w:rFonts w:eastAsia="仿宋_GB2312"/>
          <w:sz w:val="32"/>
          <w:szCs w:val="32"/>
          <w:highlight w:val="none"/>
        </w:rPr>
        <w:t>万元，增长</w:t>
      </w:r>
      <w:r>
        <w:rPr>
          <w:rFonts w:hint="eastAsia" w:eastAsia="仿宋_GB2312"/>
          <w:sz w:val="32"/>
          <w:szCs w:val="32"/>
          <w:highlight w:val="none"/>
          <w:u w:val="single"/>
          <w:lang w:val="en-US" w:eastAsia="zh-CN"/>
        </w:rPr>
        <w:t>51.87</w:t>
      </w:r>
      <w:r>
        <w:rPr>
          <w:rFonts w:hint="eastAsia" w:ascii="仿宋_GB2312" w:hAnsi="仿宋_GB2312" w:eastAsia="仿宋_GB2312"/>
          <w:sz w:val="32"/>
          <w:szCs w:val="32"/>
          <w:highlight w:val="none"/>
          <w:lang w:eastAsia="zh-CN"/>
        </w:rPr>
        <w:t>%</w:t>
      </w:r>
      <w:r>
        <w:rPr>
          <w:rFonts w:eastAsia="仿宋_GB2312"/>
          <w:sz w:val="32"/>
          <w:szCs w:val="32"/>
          <w:highlight w:val="none"/>
        </w:rPr>
        <w:t>。</w:t>
      </w:r>
      <w:r>
        <w:rPr>
          <w:rFonts w:hint="eastAsia" w:eastAsia="仿宋_GB2312"/>
          <w:sz w:val="32"/>
          <w:szCs w:val="32"/>
          <w:highlight w:val="none"/>
        </w:rPr>
        <w:t>具体情况如下：</w:t>
      </w:r>
    </w:p>
    <w:p>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（一）一般公共服务（类）</w:t>
      </w:r>
    </w:p>
    <w:p>
      <w:pPr>
        <w:pStyle w:val="10"/>
        <w:spacing w:after="0" w:line="600" w:lineRule="exact"/>
        <w:ind w:firstLine="640" w:firstLineChars="200"/>
        <w:rPr>
          <w:rFonts w:eastAsia="仿宋_GB2312"/>
          <w:sz w:val="32"/>
          <w:szCs w:val="32"/>
          <w:highlight w:val="none"/>
        </w:rPr>
      </w:pPr>
      <w:r>
        <w:rPr>
          <w:rFonts w:hint="eastAsia" w:eastAsia="仿宋_GB2312"/>
          <w:sz w:val="32"/>
          <w:szCs w:val="32"/>
          <w:highlight w:val="none"/>
        </w:rPr>
        <w:t>一般公共服务类年初预算数为</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rPr>
        <w:t>。其中：</w:t>
      </w:r>
    </w:p>
    <w:p>
      <w:pPr>
        <w:pStyle w:val="10"/>
        <w:numPr>
          <w:ilvl w:val="0"/>
          <w:numId w:val="0"/>
        </w:numPr>
        <w:tabs>
          <w:tab w:val="left" w:pos="4275"/>
        </w:tabs>
        <w:spacing w:after="0" w:line="600" w:lineRule="exact"/>
        <w:ind w:firstLine="640" w:firstLineChars="200"/>
        <w:rPr>
          <w:rFonts w:hint="eastAsia" w:eastAsia="仿宋_GB2312"/>
          <w:sz w:val="32"/>
          <w:szCs w:val="32"/>
          <w:highlight w:val="none"/>
          <w:lang w:val="en-US" w:eastAsia="zh-CN"/>
        </w:rPr>
      </w:pPr>
      <w:r>
        <w:rPr>
          <w:rFonts w:hint="eastAsia" w:eastAsia="仿宋_GB2312"/>
          <w:sz w:val="32"/>
          <w:szCs w:val="32"/>
          <w:highlight w:val="none"/>
          <w:lang w:val="en-US" w:eastAsia="zh-CN"/>
        </w:rPr>
        <w:t>1.</w:t>
      </w:r>
      <w:r>
        <w:rPr>
          <w:rFonts w:eastAsia="仿宋_GB2312"/>
          <w:sz w:val="32"/>
          <w:szCs w:val="32"/>
          <w:highlight w:val="none"/>
        </w:rPr>
        <w:t>人大事务（款）行政运行（项）。年初预算</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。变动原因：</w:t>
      </w:r>
      <w:r>
        <w:rPr>
          <w:rFonts w:hint="eastAsia" w:ascii="仿宋_GB2312" w:hAnsi="仿宋_GB2312" w:eastAsia="仿宋_GB2312"/>
          <w:sz w:val="32"/>
          <w:szCs w:val="32"/>
          <w:highlight w:val="none"/>
          <w:lang w:val="en-US" w:eastAsia="zh-CN"/>
        </w:rPr>
        <w:t>本单位不存在此项内容</w:t>
      </w:r>
      <w:r>
        <w:rPr>
          <w:rFonts w:eastAsia="仿宋_GB2312"/>
          <w:sz w:val="32"/>
          <w:szCs w:val="32"/>
          <w:highlight w:val="none"/>
        </w:rPr>
        <w:t>。</w:t>
      </w:r>
      <w:r>
        <w:rPr>
          <w:rFonts w:hint="eastAsia" w:eastAsia="仿宋_GB2312"/>
          <w:sz w:val="32"/>
          <w:szCs w:val="32"/>
          <w:highlight w:val="none"/>
          <w:lang w:val="en-US" w:eastAsia="zh-CN"/>
        </w:rPr>
        <w:t xml:space="preserve">   </w:t>
      </w:r>
    </w:p>
    <w:p>
      <w:pPr>
        <w:pStyle w:val="10"/>
        <w:numPr>
          <w:ilvl w:val="0"/>
          <w:numId w:val="0"/>
        </w:numPr>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（二）公共安全（类）</w:t>
      </w:r>
    </w:p>
    <w:p>
      <w:pPr>
        <w:pStyle w:val="10"/>
        <w:spacing w:after="0" w:line="600" w:lineRule="exact"/>
        <w:ind w:firstLine="640" w:firstLineChars="200"/>
        <w:rPr>
          <w:rFonts w:eastAsia="仿宋_GB2312"/>
          <w:sz w:val="32"/>
          <w:szCs w:val="32"/>
          <w:highlight w:val="none"/>
        </w:rPr>
      </w:pPr>
      <w:r>
        <w:rPr>
          <w:rFonts w:hint="eastAsia" w:eastAsia="仿宋_GB2312"/>
          <w:sz w:val="32"/>
          <w:szCs w:val="32"/>
          <w:highlight w:val="none"/>
        </w:rPr>
        <w:t>公共安全类年初预算数为</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rPr>
        <w:t>。其中：</w:t>
      </w:r>
    </w:p>
    <w:p>
      <w:pPr>
        <w:pStyle w:val="10"/>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1．公安（款）行政运行（项）。年初预算</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。变动原因：</w:t>
      </w:r>
      <w:r>
        <w:rPr>
          <w:rFonts w:hint="eastAsia" w:ascii="仿宋_GB2312" w:hAnsi="仿宋_GB2312" w:eastAsia="仿宋_GB2312"/>
          <w:sz w:val="32"/>
          <w:szCs w:val="32"/>
          <w:highlight w:val="none"/>
          <w:lang w:val="en-US" w:eastAsia="zh-CN"/>
        </w:rPr>
        <w:t>本单位不存在此项内容</w:t>
      </w:r>
      <w:r>
        <w:rPr>
          <w:rFonts w:eastAsia="仿宋_GB2312"/>
          <w:sz w:val="32"/>
          <w:szCs w:val="32"/>
          <w:highlight w:val="none"/>
        </w:rPr>
        <w:t>。</w:t>
      </w:r>
    </w:p>
    <w:p>
      <w:pPr>
        <w:pStyle w:val="10"/>
        <w:tabs>
          <w:tab w:val="left" w:pos="4275"/>
        </w:tabs>
        <w:spacing w:after="0" w:line="600" w:lineRule="exact"/>
        <w:ind w:firstLine="643" w:firstLineChars="200"/>
        <w:rPr>
          <w:rFonts w:hint="eastAsia" w:ascii="楷体" w:hAnsi="楷体" w:eastAsia="楷体" w:cs="楷体"/>
          <w:b/>
          <w:bCs/>
          <w:sz w:val="32"/>
          <w:szCs w:val="32"/>
          <w:highlight w:val="none"/>
          <w:lang w:eastAsia="zh-CN"/>
        </w:rPr>
      </w:pPr>
      <w:r>
        <w:rPr>
          <w:rFonts w:hint="eastAsia" w:ascii="楷体" w:hAnsi="楷体" w:eastAsia="楷体" w:cs="楷体"/>
          <w:b/>
          <w:bCs/>
          <w:sz w:val="32"/>
          <w:szCs w:val="32"/>
          <w:highlight w:val="none"/>
          <w:lang w:eastAsia="zh-CN"/>
        </w:rPr>
        <w:t>（</w:t>
      </w:r>
      <w:r>
        <w:rPr>
          <w:rFonts w:hint="eastAsia" w:ascii="楷体" w:hAnsi="楷体" w:eastAsia="楷体" w:cs="楷体"/>
          <w:b/>
          <w:bCs/>
          <w:sz w:val="32"/>
          <w:szCs w:val="32"/>
          <w:highlight w:val="none"/>
          <w:lang w:val="en-US" w:eastAsia="zh-CN"/>
        </w:rPr>
        <w:t>三</w:t>
      </w:r>
      <w:r>
        <w:rPr>
          <w:rFonts w:hint="eastAsia" w:ascii="楷体" w:hAnsi="楷体" w:eastAsia="楷体" w:cs="楷体"/>
          <w:b/>
          <w:bCs/>
          <w:sz w:val="32"/>
          <w:szCs w:val="32"/>
          <w:highlight w:val="none"/>
          <w:lang w:eastAsia="zh-CN"/>
        </w:rPr>
        <w:t>）</w:t>
      </w:r>
      <w:r>
        <w:rPr>
          <w:rFonts w:hint="eastAsia" w:ascii="楷体" w:hAnsi="楷体" w:eastAsia="楷体" w:cs="楷体"/>
          <w:b/>
          <w:bCs/>
          <w:sz w:val="32"/>
          <w:szCs w:val="32"/>
          <w:highlight w:val="none"/>
        </w:rPr>
        <w:t>社会保障和就业</w:t>
      </w:r>
      <w:r>
        <w:rPr>
          <w:rFonts w:hint="eastAsia" w:ascii="楷体" w:hAnsi="楷体" w:eastAsia="楷体" w:cs="楷体"/>
          <w:b/>
          <w:bCs/>
          <w:sz w:val="32"/>
          <w:szCs w:val="32"/>
          <w:highlight w:val="none"/>
          <w:lang w:eastAsia="zh-CN"/>
        </w:rPr>
        <w:t>（</w:t>
      </w:r>
      <w:r>
        <w:rPr>
          <w:rFonts w:hint="eastAsia" w:ascii="楷体" w:hAnsi="楷体" w:eastAsia="楷体" w:cs="楷体"/>
          <w:b/>
          <w:bCs/>
          <w:sz w:val="32"/>
          <w:szCs w:val="32"/>
          <w:highlight w:val="none"/>
        </w:rPr>
        <w:t>类</w:t>
      </w:r>
      <w:r>
        <w:rPr>
          <w:rFonts w:hint="eastAsia" w:ascii="楷体" w:hAnsi="楷体" w:eastAsia="楷体" w:cs="楷体"/>
          <w:b/>
          <w:bCs/>
          <w:sz w:val="32"/>
          <w:szCs w:val="32"/>
          <w:highlight w:val="none"/>
          <w:lang w:eastAsia="zh-CN"/>
        </w:rPr>
        <w:t>）</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社会保障和就业（类）预算数为</w:t>
      </w:r>
      <w:r>
        <w:rPr>
          <w:rFonts w:hint="eastAsia" w:eastAsia="仿宋_GB2312" w:cs="Times New Roman"/>
          <w:sz w:val="32"/>
          <w:szCs w:val="32"/>
          <w:highlight w:val="none"/>
          <w:u w:val="single"/>
          <w:lang w:val="en-US" w:eastAsia="zh-CN"/>
        </w:rPr>
        <w:t>30.70</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3.48</w:t>
      </w:r>
      <w:r>
        <w:rPr>
          <w:rFonts w:hint="eastAsia" w:ascii="Times New Roman" w:hAnsi="Times New Roman" w:eastAsia="仿宋_GB2312" w:cs="Times New Roman"/>
          <w:sz w:val="32"/>
          <w:szCs w:val="32"/>
          <w:highlight w:val="none"/>
          <w:lang w:val="en-US" w:eastAsia="zh-CN"/>
        </w:rPr>
        <w:t>万元。其中：</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1.行政事业单位养老支出（款）机关事业单位基本养老保险缴费支出（项）。年初预算</w:t>
      </w:r>
      <w:r>
        <w:rPr>
          <w:rFonts w:hint="eastAsia" w:eastAsia="仿宋_GB2312" w:cs="Times New Roman"/>
          <w:sz w:val="32"/>
          <w:szCs w:val="32"/>
          <w:highlight w:val="none"/>
          <w:u w:val="single"/>
          <w:lang w:val="en-US" w:eastAsia="zh-CN"/>
        </w:rPr>
        <w:t>19.20</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3.17</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19.77</w:t>
      </w:r>
      <w:r>
        <w:rPr>
          <w:rFonts w:hint="eastAsia" w:ascii="Times New Roman" w:hAnsi="Times New Roman" w:eastAsia="仿宋_GB2312" w:cs="Times New Roman"/>
          <w:sz w:val="32"/>
          <w:szCs w:val="32"/>
          <w:highlight w:val="none"/>
          <w:lang w:val="en-US" w:eastAsia="zh-CN"/>
        </w:rPr>
        <w:t>%。变动原因：本年</w:t>
      </w:r>
      <w:r>
        <w:rPr>
          <w:rFonts w:hint="eastAsia" w:eastAsia="仿宋_GB2312" w:cs="Times New Roman"/>
          <w:sz w:val="32"/>
          <w:szCs w:val="32"/>
          <w:highlight w:val="none"/>
          <w:lang w:val="en-US" w:eastAsia="zh-CN"/>
        </w:rPr>
        <w:t>人员增加</w:t>
      </w:r>
      <w:r>
        <w:rPr>
          <w:rFonts w:hint="eastAsia" w:ascii="Times New Roman" w:hAnsi="Times New Roman" w:eastAsia="仿宋_GB2312" w:cs="Times New Roman"/>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2.行政事业单位养老支出（款）</w:t>
      </w:r>
      <w:r>
        <w:rPr>
          <w:rFonts w:hint="eastAsia" w:eastAsia="仿宋_GB2312" w:cs="Times New Roman"/>
          <w:sz w:val="32"/>
          <w:szCs w:val="32"/>
          <w:highlight w:val="none"/>
          <w:lang w:val="en-US" w:eastAsia="zh-CN"/>
        </w:rPr>
        <w:t>行政单位离退休</w:t>
      </w:r>
      <w:r>
        <w:rPr>
          <w:rFonts w:hint="eastAsia" w:ascii="Times New Roman" w:hAnsi="Times New Roman" w:eastAsia="仿宋_GB2312" w:cs="Times New Roman"/>
          <w:sz w:val="32"/>
          <w:szCs w:val="32"/>
          <w:highlight w:val="none"/>
          <w:lang w:val="en-US" w:eastAsia="zh-CN"/>
        </w:rPr>
        <w:t>（项）。年初预算</w:t>
      </w:r>
      <w:r>
        <w:rPr>
          <w:rFonts w:hint="eastAsia" w:eastAsia="仿宋_GB2312" w:cs="Times New Roman"/>
          <w:sz w:val="32"/>
          <w:szCs w:val="32"/>
          <w:highlight w:val="none"/>
          <w:u w:val="single"/>
          <w:lang w:val="en-US" w:eastAsia="zh-CN"/>
        </w:rPr>
        <w:t>9.63</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0</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0</w:t>
      </w:r>
      <w:r>
        <w:rPr>
          <w:rFonts w:hint="eastAsia" w:ascii="Times New Roman" w:hAnsi="Times New Roman" w:eastAsia="仿宋_GB2312" w:cs="Times New Roman"/>
          <w:sz w:val="32"/>
          <w:szCs w:val="32"/>
          <w:highlight w:val="none"/>
          <w:lang w:val="en-US" w:eastAsia="zh-CN"/>
        </w:rPr>
        <w:t>%。变动原因：</w:t>
      </w:r>
      <w:r>
        <w:rPr>
          <w:rFonts w:hint="eastAsia" w:eastAsia="仿宋_GB2312" w:cs="Times New Roman"/>
          <w:sz w:val="32"/>
          <w:szCs w:val="32"/>
          <w:highlight w:val="none"/>
          <w:lang w:val="en-US" w:eastAsia="zh-CN"/>
        </w:rPr>
        <w:t>无变动</w:t>
      </w:r>
      <w:r>
        <w:rPr>
          <w:rFonts w:hint="eastAsia" w:ascii="Times New Roman" w:hAnsi="Times New Roman" w:eastAsia="仿宋_GB2312" w:cs="Times New Roman"/>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3.残疾人事业（款）其他残疾人事业支出（项）。年初预算</w:t>
      </w:r>
      <w:r>
        <w:rPr>
          <w:rFonts w:hint="eastAsia" w:eastAsia="仿宋_GB2312" w:cs="Times New Roman"/>
          <w:sz w:val="32"/>
          <w:szCs w:val="32"/>
          <w:highlight w:val="none"/>
          <w:u w:val="single"/>
          <w:lang w:val="en-US" w:eastAsia="zh-CN"/>
        </w:rPr>
        <w:t>1.64</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0.27</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19.71</w:t>
      </w:r>
      <w:r>
        <w:rPr>
          <w:rFonts w:hint="eastAsia" w:ascii="Times New Roman" w:hAnsi="Times New Roman" w:eastAsia="仿宋_GB2312" w:cs="Times New Roman"/>
          <w:sz w:val="32"/>
          <w:szCs w:val="32"/>
          <w:highlight w:val="none"/>
          <w:lang w:val="en-US" w:eastAsia="zh-CN"/>
        </w:rPr>
        <w:t>%。变动原因：</w:t>
      </w:r>
      <w:r>
        <w:rPr>
          <w:rFonts w:hint="eastAsia" w:eastAsia="仿宋_GB2312" w:cs="Times New Roman"/>
          <w:sz w:val="32"/>
          <w:szCs w:val="32"/>
          <w:highlight w:val="none"/>
          <w:lang w:val="en-US" w:eastAsia="zh-CN"/>
        </w:rPr>
        <w:t>人员增加</w:t>
      </w:r>
      <w:r>
        <w:rPr>
          <w:rFonts w:hint="eastAsia" w:ascii="Times New Roman" w:hAnsi="Times New Roman" w:eastAsia="仿宋_GB2312" w:cs="Times New Roman"/>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4.其他社会保障和就业支出（款）其他社会保障和就业支出（项）。年初预算</w:t>
      </w:r>
      <w:r>
        <w:rPr>
          <w:rFonts w:hint="eastAsia" w:eastAsia="仿宋_GB2312" w:cs="Times New Roman"/>
          <w:sz w:val="32"/>
          <w:szCs w:val="32"/>
          <w:highlight w:val="none"/>
          <w:u w:val="single"/>
          <w:lang w:val="en-US" w:eastAsia="zh-CN"/>
        </w:rPr>
        <w:t>0.24</w:t>
      </w:r>
      <w:r>
        <w:rPr>
          <w:rFonts w:hint="eastAsia" w:ascii="Times New Roman" w:hAnsi="Times New Roman" w:eastAsia="仿宋_GB2312" w:cs="Times New Roman"/>
          <w:sz w:val="32"/>
          <w:szCs w:val="32"/>
          <w:highlight w:val="none"/>
          <w:lang w:val="en-US" w:eastAsia="zh-CN"/>
        </w:rPr>
        <w:t>万元，与上年相比增加</w:t>
      </w:r>
      <w:r>
        <w:rPr>
          <w:rFonts w:hint="eastAsia" w:ascii="Times New Roman" w:hAnsi="Times New Roman" w:eastAsia="仿宋_GB2312" w:cs="Times New Roman"/>
          <w:sz w:val="32"/>
          <w:szCs w:val="32"/>
          <w:highlight w:val="none"/>
          <w:u w:val="single"/>
          <w:lang w:val="en-US" w:eastAsia="zh-CN"/>
        </w:rPr>
        <w:t>0.</w:t>
      </w:r>
      <w:r>
        <w:rPr>
          <w:rFonts w:hint="eastAsia" w:eastAsia="仿宋_GB2312" w:cs="Times New Roman"/>
          <w:sz w:val="32"/>
          <w:szCs w:val="32"/>
          <w:highlight w:val="none"/>
          <w:u w:val="single"/>
          <w:lang w:val="en-US" w:eastAsia="zh-CN"/>
        </w:rPr>
        <w:t>04</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20</w:t>
      </w:r>
      <w:r>
        <w:rPr>
          <w:rFonts w:hint="eastAsia" w:ascii="Times New Roman" w:hAnsi="Times New Roman" w:eastAsia="仿宋_GB2312" w:cs="Times New Roman"/>
          <w:sz w:val="32"/>
          <w:szCs w:val="32"/>
          <w:highlight w:val="none"/>
          <w:lang w:val="en-US" w:eastAsia="zh-CN"/>
        </w:rPr>
        <w:t>%。变动原因：</w:t>
      </w:r>
      <w:r>
        <w:rPr>
          <w:rFonts w:hint="eastAsia" w:eastAsia="仿宋_GB2312" w:cs="Times New Roman"/>
          <w:sz w:val="32"/>
          <w:szCs w:val="32"/>
          <w:highlight w:val="none"/>
          <w:lang w:val="en-US" w:eastAsia="zh-CN"/>
        </w:rPr>
        <w:t>人员增加</w:t>
      </w:r>
      <w:r>
        <w:rPr>
          <w:rFonts w:hint="eastAsia" w:ascii="Times New Roman" w:hAnsi="Times New Roman" w:eastAsia="仿宋_GB2312" w:cs="Times New Roman"/>
          <w:sz w:val="32"/>
          <w:szCs w:val="32"/>
          <w:highlight w:val="none"/>
          <w:lang w:val="en-US" w:eastAsia="zh-CN"/>
        </w:rPr>
        <w:t>。</w:t>
      </w:r>
    </w:p>
    <w:p>
      <w:pPr>
        <w:pStyle w:val="10"/>
        <w:tabs>
          <w:tab w:val="left" w:pos="4275"/>
        </w:tabs>
        <w:spacing w:after="0" w:line="600" w:lineRule="exact"/>
        <w:ind w:firstLine="643" w:firstLineChars="200"/>
        <w:rPr>
          <w:rFonts w:hint="default"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（四）科学技术（类）</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科学技术（类）预算数为</w:t>
      </w:r>
      <w:r>
        <w:rPr>
          <w:rFonts w:hint="eastAsia" w:eastAsia="仿宋_GB2312" w:cs="Times New Roman"/>
          <w:sz w:val="32"/>
          <w:szCs w:val="32"/>
          <w:highlight w:val="none"/>
          <w:u w:val="single"/>
          <w:lang w:val="en-US" w:eastAsia="zh-CN"/>
        </w:rPr>
        <w:t>376.14</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140.16</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59.39</w:t>
      </w:r>
      <w:r>
        <w:rPr>
          <w:rFonts w:hint="eastAsia" w:ascii="Times New Roman" w:hAnsi="Times New Roman" w:eastAsia="仿宋_GB2312" w:cs="Times New Roman"/>
          <w:sz w:val="32"/>
          <w:szCs w:val="32"/>
          <w:highlight w:val="none"/>
          <w:lang w:val="en-US" w:eastAsia="zh-CN"/>
        </w:rPr>
        <w:t>%。其中：</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1.科学技术管理事务（款）行政运行（项）。年初预算</w:t>
      </w:r>
      <w:r>
        <w:rPr>
          <w:rFonts w:hint="eastAsia" w:eastAsia="仿宋_GB2312" w:cs="Times New Roman"/>
          <w:sz w:val="32"/>
          <w:szCs w:val="32"/>
          <w:highlight w:val="none"/>
          <w:u w:val="single"/>
          <w:lang w:val="en-US" w:eastAsia="zh-CN"/>
        </w:rPr>
        <w:t>133.34</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22.16</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19.93</w:t>
      </w:r>
      <w:r>
        <w:rPr>
          <w:rFonts w:hint="eastAsia" w:ascii="Times New Roman" w:hAnsi="Times New Roman" w:eastAsia="仿宋_GB2312" w:cs="Times New Roman"/>
          <w:sz w:val="32"/>
          <w:szCs w:val="32"/>
          <w:highlight w:val="none"/>
          <w:lang w:val="en-US" w:eastAsia="zh-CN"/>
        </w:rPr>
        <w:t>%。主要原因是</w:t>
      </w:r>
      <w:r>
        <w:rPr>
          <w:rFonts w:hint="eastAsia" w:eastAsia="仿宋_GB2312" w:cs="Times New Roman"/>
          <w:sz w:val="32"/>
          <w:szCs w:val="32"/>
          <w:highlight w:val="none"/>
          <w:lang w:val="en-US" w:eastAsia="zh-CN"/>
        </w:rPr>
        <w:t>人员增加</w:t>
      </w:r>
      <w:r>
        <w:rPr>
          <w:rFonts w:hint="eastAsia" w:ascii="Times New Roman" w:hAnsi="Times New Roman" w:eastAsia="仿宋_GB2312" w:cs="Times New Roman"/>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2.科学技术管理事务（款）其他科学技术管理事务支出（项）。年初预算</w:t>
      </w:r>
      <w:r>
        <w:rPr>
          <w:rFonts w:hint="eastAsia" w:eastAsia="仿宋_GB2312" w:cs="Times New Roman"/>
          <w:sz w:val="32"/>
          <w:szCs w:val="32"/>
          <w:highlight w:val="none"/>
          <w:u w:val="single"/>
          <w:lang w:val="en-US" w:eastAsia="zh-CN"/>
        </w:rPr>
        <w:t>22.8</w:t>
      </w:r>
      <w:r>
        <w:rPr>
          <w:rFonts w:hint="eastAsia" w:ascii="Times New Roman" w:hAnsi="Times New Roman" w:eastAsia="仿宋_GB2312" w:cs="Times New Roman"/>
          <w:sz w:val="32"/>
          <w:szCs w:val="32"/>
          <w:highlight w:val="none"/>
          <w:lang w:val="en-US" w:eastAsia="zh-CN"/>
        </w:rPr>
        <w:t>万元，与上年相比</w:t>
      </w:r>
      <w:r>
        <w:rPr>
          <w:rFonts w:hint="eastAsia" w:eastAsia="仿宋_GB2312" w:cs="Times New Roman"/>
          <w:sz w:val="32"/>
          <w:szCs w:val="32"/>
          <w:highlight w:val="none"/>
          <w:lang w:val="en-US" w:eastAsia="zh-CN"/>
        </w:rPr>
        <w:t>增加</w:t>
      </w:r>
      <w:r>
        <w:rPr>
          <w:rFonts w:hint="eastAsia" w:eastAsia="仿宋_GB2312" w:cs="Times New Roman"/>
          <w:sz w:val="32"/>
          <w:szCs w:val="32"/>
          <w:highlight w:val="none"/>
          <w:u w:val="single"/>
          <w:lang w:val="en-US" w:eastAsia="zh-CN"/>
        </w:rPr>
        <w:t>0</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0</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无变动</w:t>
      </w:r>
      <w:r>
        <w:rPr>
          <w:rFonts w:hint="eastAsia" w:ascii="Times New Roman" w:hAnsi="Times New Roman" w:eastAsia="仿宋_GB2312" w:cs="Times New Roman"/>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lang w:val="en-US" w:eastAsia="zh-CN"/>
        </w:rPr>
        <w:t>.科学技术普及（款）科普活动（项）。年初预算</w:t>
      </w:r>
      <w:r>
        <w:rPr>
          <w:rFonts w:hint="eastAsia" w:eastAsia="仿宋_GB2312" w:cs="Times New Roman"/>
          <w:sz w:val="32"/>
          <w:szCs w:val="32"/>
          <w:highlight w:val="none"/>
          <w:u w:val="single"/>
          <w:lang w:val="en-US" w:eastAsia="zh-CN"/>
        </w:rPr>
        <w:t>112</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10</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9.8</w:t>
      </w:r>
      <w:r>
        <w:rPr>
          <w:rFonts w:hint="eastAsia" w:ascii="Times New Roman" w:hAnsi="Times New Roman" w:eastAsia="仿宋_GB2312" w:cs="Times New Roman"/>
          <w:sz w:val="32"/>
          <w:szCs w:val="32"/>
          <w:highlight w:val="none"/>
          <w:lang w:val="en-US" w:eastAsia="zh-CN"/>
        </w:rPr>
        <w:t>%。主要原因是</w:t>
      </w:r>
      <w:r>
        <w:rPr>
          <w:rFonts w:hint="eastAsia" w:eastAsia="仿宋_GB2312" w:cs="Times New Roman"/>
          <w:sz w:val="32"/>
          <w:szCs w:val="32"/>
          <w:highlight w:val="none"/>
          <w:lang w:val="en-US" w:eastAsia="zh-CN"/>
        </w:rPr>
        <w:t>上级项目增加</w:t>
      </w:r>
      <w:r>
        <w:rPr>
          <w:rFonts w:hint="eastAsia" w:ascii="Times New Roman" w:hAnsi="Times New Roman" w:eastAsia="仿宋_GB2312" w:cs="Times New Roman"/>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val="en-US" w:eastAsia="zh-CN"/>
        </w:rPr>
        <w:t>科学技术普及（款）</w:t>
      </w:r>
      <w:r>
        <w:rPr>
          <w:rFonts w:hint="eastAsia" w:eastAsia="仿宋_GB2312" w:cs="Times New Roman"/>
          <w:sz w:val="32"/>
          <w:szCs w:val="32"/>
          <w:highlight w:val="none"/>
          <w:lang w:val="en-US" w:eastAsia="zh-CN"/>
        </w:rPr>
        <w:t>其他科学技术普及支出（项）。年初预算108万元，与上年相比增加108万元，增长0%。主要原因是上级项目增加。</w:t>
      </w:r>
    </w:p>
    <w:p>
      <w:pPr>
        <w:pStyle w:val="10"/>
        <w:tabs>
          <w:tab w:val="left" w:pos="4275"/>
        </w:tabs>
        <w:spacing w:after="0" w:line="600" w:lineRule="exact"/>
        <w:ind w:firstLine="643" w:firstLineChars="200"/>
        <w:rPr>
          <w:rFonts w:hint="default"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（五）卫生健康（类）</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卫生健康（类）预算数为</w:t>
      </w:r>
      <w:r>
        <w:rPr>
          <w:rFonts w:hint="eastAsia" w:eastAsia="仿宋_GB2312" w:cs="Times New Roman"/>
          <w:sz w:val="32"/>
          <w:szCs w:val="32"/>
          <w:highlight w:val="none"/>
          <w:u w:val="single"/>
          <w:lang w:val="en-US" w:eastAsia="zh-CN"/>
        </w:rPr>
        <w:t>10.55</w:t>
      </w:r>
      <w:r>
        <w:rPr>
          <w:rFonts w:hint="eastAsia" w:ascii="Times New Roman" w:hAnsi="Times New Roman" w:eastAsia="仿宋_GB2312" w:cs="Times New Roman"/>
          <w:sz w:val="32"/>
          <w:szCs w:val="32"/>
          <w:highlight w:val="none"/>
          <w:lang w:val="en-US" w:eastAsia="zh-CN"/>
        </w:rPr>
        <w:t>万元，与上年相比</w:t>
      </w:r>
      <w:r>
        <w:rPr>
          <w:rFonts w:hint="eastAsia" w:eastAsia="仿宋_GB2312" w:cs="Times New Roman"/>
          <w:sz w:val="32"/>
          <w:szCs w:val="32"/>
          <w:highlight w:val="none"/>
          <w:lang w:val="en-US" w:eastAsia="zh-CN"/>
        </w:rPr>
        <w:t>增加</w:t>
      </w:r>
      <w:r>
        <w:rPr>
          <w:rFonts w:hint="eastAsia" w:ascii="Times New Roman" w:hAnsi="Times New Roman" w:eastAsia="仿宋_GB2312" w:cs="Times New Roman"/>
          <w:sz w:val="32"/>
          <w:szCs w:val="32"/>
          <w:highlight w:val="none"/>
          <w:u w:val="single"/>
          <w:lang w:val="en-US" w:eastAsia="zh-CN"/>
        </w:rPr>
        <w:t>1.</w:t>
      </w:r>
      <w:r>
        <w:rPr>
          <w:rFonts w:hint="eastAsia" w:eastAsia="仿宋_GB2312" w:cs="Times New Roman"/>
          <w:sz w:val="32"/>
          <w:szCs w:val="32"/>
          <w:highlight w:val="none"/>
          <w:u w:val="single"/>
          <w:lang w:val="en-US" w:eastAsia="zh-CN"/>
        </w:rPr>
        <w:t>4</w:t>
      </w:r>
      <w:r>
        <w:rPr>
          <w:rFonts w:hint="eastAsia" w:ascii="Times New Roman" w:hAnsi="Times New Roman" w:eastAsia="仿宋_GB2312" w:cs="Times New Roman"/>
          <w:sz w:val="32"/>
          <w:szCs w:val="32"/>
          <w:highlight w:val="none"/>
          <w:u w:val="single"/>
          <w:lang w:val="en-US" w:eastAsia="zh-CN"/>
        </w:rPr>
        <w:t>7</w:t>
      </w:r>
      <w:r>
        <w:rPr>
          <w:rFonts w:hint="eastAsia"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增长</w:t>
      </w:r>
      <w:r>
        <w:rPr>
          <w:rFonts w:hint="eastAsia" w:ascii="Times New Roman" w:hAnsi="Times New Roman" w:eastAsia="仿宋_GB2312" w:cs="Times New Roman"/>
          <w:sz w:val="32"/>
          <w:szCs w:val="32"/>
          <w:highlight w:val="none"/>
          <w:u w:val="single"/>
          <w:lang w:val="en-US" w:eastAsia="zh-CN"/>
        </w:rPr>
        <w:t>1</w:t>
      </w:r>
      <w:r>
        <w:rPr>
          <w:rFonts w:hint="eastAsia" w:eastAsia="仿宋_GB2312" w:cs="Times New Roman"/>
          <w:sz w:val="32"/>
          <w:szCs w:val="32"/>
          <w:highlight w:val="none"/>
          <w:u w:val="single"/>
          <w:lang w:val="en-US" w:eastAsia="zh-CN"/>
        </w:rPr>
        <w:t>6.19</w:t>
      </w:r>
      <w:r>
        <w:rPr>
          <w:rFonts w:hint="eastAsia" w:ascii="Times New Roman" w:hAnsi="Times New Roman" w:eastAsia="仿宋_GB2312" w:cs="Times New Roman"/>
          <w:sz w:val="32"/>
          <w:szCs w:val="32"/>
          <w:highlight w:val="none"/>
          <w:lang w:val="en-US" w:eastAsia="zh-CN"/>
        </w:rPr>
        <w:t>%。其中：</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1.行政事业单位医疗（款）行政单位医疗（项）。年初预算</w:t>
      </w:r>
      <w:r>
        <w:rPr>
          <w:rFonts w:hint="eastAsia" w:eastAsia="仿宋_GB2312" w:cs="Times New Roman"/>
          <w:sz w:val="32"/>
          <w:szCs w:val="32"/>
          <w:highlight w:val="none"/>
          <w:u w:val="single"/>
          <w:lang w:val="en-US" w:eastAsia="zh-CN"/>
        </w:rPr>
        <w:t>8.47</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0.39</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4.83</w:t>
      </w:r>
      <w:r>
        <w:rPr>
          <w:rFonts w:hint="eastAsia" w:ascii="Times New Roman" w:hAnsi="Times New Roman" w:eastAsia="仿宋_GB2312" w:cs="Times New Roman"/>
          <w:sz w:val="32"/>
          <w:szCs w:val="32"/>
          <w:highlight w:val="none"/>
          <w:lang w:val="en-US" w:eastAsia="zh-CN"/>
        </w:rPr>
        <w:t>%。主要原因是</w:t>
      </w:r>
      <w:r>
        <w:rPr>
          <w:rFonts w:hint="eastAsia" w:eastAsia="仿宋_GB2312" w:cs="Times New Roman"/>
          <w:sz w:val="32"/>
          <w:szCs w:val="32"/>
          <w:highlight w:val="none"/>
          <w:lang w:val="en-US" w:eastAsia="zh-CN"/>
        </w:rPr>
        <w:t>人员增加。</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2.行政事业单位医疗（款）公务员医疗补助（项）。年初预算</w:t>
      </w:r>
      <w:r>
        <w:rPr>
          <w:rFonts w:hint="eastAsia" w:eastAsia="仿宋_GB2312" w:cs="Times New Roman"/>
          <w:sz w:val="32"/>
          <w:szCs w:val="32"/>
          <w:highlight w:val="none"/>
          <w:u w:val="single"/>
          <w:lang w:val="en-US" w:eastAsia="zh-CN"/>
        </w:rPr>
        <w:t>2.08</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1.08</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108</w:t>
      </w:r>
      <w:r>
        <w:rPr>
          <w:rFonts w:hint="eastAsia" w:ascii="Times New Roman" w:hAnsi="Times New Roman" w:eastAsia="仿宋_GB2312" w:cs="Times New Roman"/>
          <w:sz w:val="32"/>
          <w:szCs w:val="32"/>
          <w:highlight w:val="none"/>
          <w:lang w:val="en-US" w:eastAsia="zh-CN"/>
        </w:rPr>
        <w:t>%。主要原因是</w:t>
      </w:r>
      <w:r>
        <w:rPr>
          <w:rFonts w:hint="eastAsia" w:eastAsia="仿宋_GB2312" w:cs="Times New Roman"/>
          <w:sz w:val="32"/>
          <w:szCs w:val="32"/>
          <w:highlight w:val="none"/>
          <w:lang w:val="en-US" w:eastAsia="zh-CN"/>
        </w:rPr>
        <w:t>人员增加</w:t>
      </w:r>
      <w:r>
        <w:rPr>
          <w:rFonts w:hint="eastAsia" w:ascii="Times New Roman" w:hAnsi="Times New Roman" w:eastAsia="仿宋_GB2312" w:cs="Times New Roman"/>
          <w:sz w:val="32"/>
          <w:szCs w:val="32"/>
          <w:highlight w:val="none"/>
          <w:lang w:val="en-US" w:eastAsia="zh-CN"/>
        </w:rPr>
        <w:t>。</w:t>
      </w:r>
    </w:p>
    <w:p>
      <w:pPr>
        <w:pStyle w:val="10"/>
        <w:tabs>
          <w:tab w:val="left" w:pos="4275"/>
        </w:tabs>
        <w:spacing w:after="0" w:line="600" w:lineRule="exact"/>
        <w:ind w:firstLine="643" w:firstLineChars="200"/>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（六）住房保障（类）</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住房保障（类）预算数为</w:t>
      </w:r>
      <w:r>
        <w:rPr>
          <w:rFonts w:hint="eastAsia" w:eastAsia="仿宋_GB2312" w:cs="Times New Roman"/>
          <w:sz w:val="32"/>
          <w:szCs w:val="32"/>
          <w:highlight w:val="none"/>
          <w:u w:val="single"/>
          <w:lang w:val="en-US" w:eastAsia="zh-CN"/>
        </w:rPr>
        <w:t>14.40</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2.38</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19.8</w:t>
      </w:r>
      <w:r>
        <w:rPr>
          <w:rFonts w:hint="eastAsia" w:ascii="Times New Roman" w:hAnsi="Times New Roman" w:eastAsia="仿宋_GB2312" w:cs="Times New Roman"/>
          <w:sz w:val="32"/>
          <w:szCs w:val="32"/>
          <w:highlight w:val="none"/>
          <w:lang w:val="en-US" w:eastAsia="zh-CN"/>
        </w:rPr>
        <w:t>%。其中：</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1.住房改革支出（款）住房公积金（项）。年初预算</w:t>
      </w:r>
      <w:r>
        <w:rPr>
          <w:rFonts w:hint="eastAsia" w:eastAsia="仿宋_GB2312" w:cs="Times New Roman"/>
          <w:sz w:val="32"/>
          <w:szCs w:val="32"/>
          <w:highlight w:val="none"/>
          <w:u w:val="single"/>
          <w:lang w:val="en-US" w:eastAsia="zh-CN"/>
        </w:rPr>
        <w:t>14.4</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2.38</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19.8</w:t>
      </w:r>
      <w:r>
        <w:rPr>
          <w:rFonts w:hint="eastAsia" w:ascii="Times New Roman" w:hAnsi="Times New Roman" w:eastAsia="仿宋_GB2312" w:cs="Times New Roman"/>
          <w:sz w:val="32"/>
          <w:szCs w:val="32"/>
          <w:highlight w:val="none"/>
          <w:lang w:val="en-US" w:eastAsia="zh-CN"/>
        </w:rPr>
        <w:t>%。主要原因是</w:t>
      </w:r>
      <w:r>
        <w:rPr>
          <w:rFonts w:hint="eastAsia" w:eastAsia="仿宋_GB2312" w:cs="Times New Roman"/>
          <w:sz w:val="32"/>
          <w:szCs w:val="32"/>
          <w:highlight w:val="none"/>
          <w:lang w:val="en-US" w:eastAsia="zh-CN"/>
        </w:rPr>
        <w:t>人员增加</w:t>
      </w:r>
      <w:r>
        <w:rPr>
          <w:rFonts w:hint="eastAsia"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rPr>
        <w:t xml:space="preserve"> </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六、一般公共预算基本支出预算情况说明</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val="en-US" w:eastAsia="zh-CN"/>
        </w:rPr>
        <w:t>通辽市科学技术协会本级</w:t>
      </w:r>
      <w:r>
        <w:rPr>
          <w:rFonts w:hint="eastAsia" w:ascii="仿宋_GB2312" w:hAnsi="仿宋_GB2312" w:eastAsia="仿宋_GB2312" w:cs="仿宋"/>
          <w:sz w:val="32"/>
          <w:szCs w:val="32"/>
          <w:highlight w:val="none"/>
          <w:lang w:val="en-US" w:eastAsia="zh-CN"/>
        </w:rPr>
        <w:t>2024</w:t>
      </w:r>
      <w:r>
        <w:rPr>
          <w:rFonts w:hint="eastAsia" w:ascii="Times New Roman" w:hAnsi="Times New Roman" w:eastAsia="仿宋_GB2312" w:cs="仿宋"/>
          <w:sz w:val="32"/>
          <w:szCs w:val="32"/>
          <w:highlight w:val="none"/>
        </w:rPr>
        <w:t>年度一般公共预算财政拨款基本支出预算</w:t>
      </w:r>
      <w:r>
        <w:rPr>
          <w:rFonts w:hint="eastAsia" w:eastAsia="仿宋_GB2312" w:cs="仿宋"/>
          <w:sz w:val="32"/>
          <w:szCs w:val="32"/>
          <w:highlight w:val="none"/>
          <w:u w:val="single"/>
          <w:lang w:val="en-US" w:eastAsia="zh-CN"/>
        </w:rPr>
        <w:t>188.99</w:t>
      </w:r>
      <w:r>
        <w:rPr>
          <w:rFonts w:hint="eastAsia" w:ascii="Times New Roman" w:hAnsi="Times New Roman" w:eastAsia="仿宋_GB2312" w:cs="仿宋"/>
          <w:sz w:val="32"/>
          <w:szCs w:val="32"/>
          <w:highlight w:val="none"/>
        </w:rPr>
        <w:t>万元，其中：</w:t>
      </w:r>
    </w:p>
    <w:p>
      <w:pPr>
        <w:pStyle w:val="10"/>
        <w:tabs>
          <w:tab w:val="left" w:pos="2671"/>
          <w:tab w:val="left" w:pos="5000"/>
          <w:tab w:val="left" w:pos="6190"/>
        </w:tabs>
        <w:spacing w:after="0" w:line="600" w:lineRule="exact"/>
        <w:ind w:firstLine="643" w:firstLineChars="200"/>
        <w:rPr>
          <w:rFonts w:hint="default" w:ascii="Times New Roman" w:hAnsi="Times New Roman" w:eastAsia="仿宋_GB2312" w:cs="仿宋"/>
          <w:sz w:val="32"/>
          <w:szCs w:val="32"/>
          <w:highlight w:val="none"/>
          <w:lang w:val="en-US"/>
        </w:rPr>
      </w:pPr>
      <w:r>
        <w:rPr>
          <w:rFonts w:hint="eastAsia" w:ascii="Times New Roman" w:hAnsi="Times New Roman" w:eastAsia="仿宋_GB2312" w:cs="仿宋"/>
          <w:b/>
          <w:bCs/>
          <w:sz w:val="32"/>
          <w:szCs w:val="32"/>
          <w:highlight w:val="none"/>
        </w:rPr>
        <w:t>（一）人员经费</w:t>
      </w:r>
      <w:r>
        <w:rPr>
          <w:rFonts w:hint="eastAsia" w:eastAsia="仿宋_GB2312" w:cs="仿宋"/>
          <w:b/>
          <w:bCs/>
          <w:sz w:val="32"/>
          <w:szCs w:val="32"/>
          <w:highlight w:val="none"/>
          <w:u w:val="single"/>
          <w:lang w:val="en-US" w:eastAsia="zh-CN"/>
        </w:rPr>
        <w:t>172.85</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。主要包括：基本工资</w:t>
      </w:r>
      <w:r>
        <w:rPr>
          <w:rFonts w:hint="eastAsia" w:eastAsia="仿宋_GB2312" w:cs="仿宋"/>
          <w:sz w:val="32"/>
          <w:szCs w:val="32"/>
          <w:highlight w:val="none"/>
          <w:lang w:val="en-US" w:eastAsia="zh-CN"/>
        </w:rPr>
        <w:t>51.41万元</w:t>
      </w:r>
      <w:r>
        <w:rPr>
          <w:rFonts w:hint="eastAsia" w:ascii="Times New Roman" w:hAnsi="Times New Roman" w:eastAsia="仿宋_GB2312" w:cs="仿宋"/>
          <w:sz w:val="32"/>
          <w:szCs w:val="32"/>
          <w:highlight w:val="none"/>
        </w:rPr>
        <w:t>、津贴补贴</w:t>
      </w:r>
      <w:r>
        <w:rPr>
          <w:rFonts w:hint="eastAsia" w:eastAsia="仿宋_GB2312" w:cs="仿宋"/>
          <w:sz w:val="32"/>
          <w:szCs w:val="32"/>
          <w:highlight w:val="none"/>
          <w:lang w:val="en-US" w:eastAsia="zh-CN"/>
        </w:rPr>
        <w:t>49.99万元</w:t>
      </w:r>
      <w:r>
        <w:rPr>
          <w:rFonts w:hint="eastAsia" w:ascii="Times New Roman" w:hAnsi="Times New Roman" w:eastAsia="仿宋_GB2312" w:cs="仿宋"/>
          <w:sz w:val="32"/>
          <w:szCs w:val="32"/>
          <w:highlight w:val="none"/>
        </w:rPr>
        <w:t>、奖金</w:t>
      </w:r>
      <w:r>
        <w:rPr>
          <w:rFonts w:hint="eastAsia" w:eastAsia="仿宋_GB2312" w:cs="仿宋"/>
          <w:sz w:val="32"/>
          <w:szCs w:val="32"/>
          <w:highlight w:val="none"/>
          <w:lang w:val="en-US" w:eastAsia="zh-CN"/>
        </w:rPr>
        <w:t>15.8万元</w:t>
      </w:r>
      <w:r>
        <w:rPr>
          <w:rFonts w:hint="eastAsia" w:ascii="Times New Roman" w:hAnsi="Times New Roman" w:eastAsia="仿宋_GB2312" w:cs="仿宋"/>
          <w:sz w:val="32"/>
          <w:szCs w:val="32"/>
          <w:highlight w:val="none"/>
        </w:rPr>
        <w:t>、机关事业单位基本养老保险缴费</w:t>
      </w:r>
      <w:r>
        <w:rPr>
          <w:rFonts w:hint="eastAsia" w:eastAsia="仿宋_GB2312" w:cs="仿宋"/>
          <w:sz w:val="32"/>
          <w:szCs w:val="32"/>
          <w:highlight w:val="none"/>
          <w:lang w:val="en-US" w:eastAsia="zh-CN"/>
        </w:rPr>
        <w:t>19.20万元</w:t>
      </w:r>
      <w:r>
        <w:rPr>
          <w:rFonts w:hint="eastAsia" w:eastAsia="仿宋_GB2312" w:cs="仿宋"/>
          <w:sz w:val="32"/>
          <w:szCs w:val="32"/>
          <w:highlight w:val="none"/>
          <w:lang w:eastAsia="zh-CN"/>
        </w:rPr>
        <w:t>、职工基本医疗保险缴费</w:t>
      </w:r>
      <w:r>
        <w:rPr>
          <w:rFonts w:hint="eastAsia" w:eastAsia="仿宋_GB2312" w:cs="仿宋"/>
          <w:sz w:val="32"/>
          <w:szCs w:val="32"/>
          <w:highlight w:val="none"/>
          <w:lang w:val="en-US" w:eastAsia="zh-CN"/>
        </w:rPr>
        <w:t>8.4万元</w:t>
      </w:r>
      <w:r>
        <w:rPr>
          <w:rFonts w:hint="eastAsia" w:eastAsia="仿宋_GB2312" w:cs="仿宋"/>
          <w:sz w:val="32"/>
          <w:szCs w:val="32"/>
          <w:highlight w:val="none"/>
          <w:lang w:eastAsia="zh-CN"/>
        </w:rPr>
        <w:t>、公务员医疗补助缴费</w:t>
      </w:r>
      <w:r>
        <w:rPr>
          <w:rFonts w:hint="eastAsia" w:eastAsia="仿宋_GB2312" w:cs="仿宋"/>
          <w:sz w:val="32"/>
          <w:szCs w:val="32"/>
          <w:highlight w:val="none"/>
          <w:lang w:val="en-US" w:eastAsia="zh-CN"/>
        </w:rPr>
        <w:t>2.08万元</w:t>
      </w:r>
      <w:r>
        <w:rPr>
          <w:rFonts w:hint="eastAsia" w:eastAsia="仿宋_GB2312" w:cs="仿宋"/>
          <w:sz w:val="32"/>
          <w:szCs w:val="32"/>
          <w:highlight w:val="none"/>
          <w:lang w:eastAsia="zh-CN"/>
        </w:rPr>
        <w:t>、其他社会保障缴费</w:t>
      </w:r>
      <w:r>
        <w:rPr>
          <w:rFonts w:hint="eastAsia" w:eastAsia="仿宋_GB2312" w:cs="仿宋"/>
          <w:sz w:val="32"/>
          <w:szCs w:val="32"/>
          <w:highlight w:val="none"/>
          <w:lang w:val="en-US" w:eastAsia="zh-CN"/>
        </w:rPr>
        <w:t>1.95万元</w:t>
      </w:r>
      <w:r>
        <w:rPr>
          <w:rFonts w:hint="eastAsia" w:eastAsia="仿宋_GB2312" w:cs="仿宋"/>
          <w:sz w:val="32"/>
          <w:szCs w:val="32"/>
          <w:highlight w:val="none"/>
          <w:lang w:eastAsia="zh-CN"/>
        </w:rPr>
        <w:t>、</w:t>
      </w:r>
      <w:r>
        <w:rPr>
          <w:rFonts w:hint="eastAsia" w:ascii="Times New Roman" w:hAnsi="Times New Roman" w:eastAsia="仿宋_GB2312" w:cs="仿宋"/>
          <w:sz w:val="32"/>
          <w:szCs w:val="32"/>
          <w:highlight w:val="none"/>
        </w:rPr>
        <w:t>住房公积金</w:t>
      </w:r>
      <w:r>
        <w:rPr>
          <w:rFonts w:hint="eastAsia" w:eastAsia="仿宋_GB2312" w:cs="仿宋"/>
          <w:sz w:val="32"/>
          <w:szCs w:val="32"/>
          <w:highlight w:val="none"/>
          <w:lang w:val="en-US" w:eastAsia="zh-CN"/>
        </w:rPr>
        <w:t>14.4万元，退休费9.62万元</w:t>
      </w:r>
    </w:p>
    <w:p>
      <w:pPr>
        <w:pStyle w:val="10"/>
        <w:tabs>
          <w:tab w:val="left" w:pos="2671"/>
          <w:tab w:val="left" w:pos="5000"/>
          <w:tab w:val="left" w:pos="6190"/>
        </w:tabs>
        <w:spacing w:after="0" w:line="600" w:lineRule="exact"/>
        <w:ind w:firstLine="643"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（二）公用经费</w:t>
      </w:r>
      <w:r>
        <w:rPr>
          <w:rFonts w:hint="eastAsia" w:eastAsia="仿宋_GB2312" w:cs="仿宋"/>
          <w:b/>
          <w:bCs/>
          <w:sz w:val="32"/>
          <w:szCs w:val="32"/>
          <w:highlight w:val="none"/>
          <w:u w:val="single"/>
          <w:lang w:val="en-US" w:eastAsia="zh-CN"/>
        </w:rPr>
        <w:t>16.14</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。主要包括：办公费</w:t>
      </w:r>
      <w:r>
        <w:rPr>
          <w:rFonts w:hint="eastAsia" w:eastAsia="仿宋_GB2312" w:cs="仿宋"/>
          <w:sz w:val="32"/>
          <w:szCs w:val="32"/>
          <w:highlight w:val="none"/>
          <w:lang w:val="en-US" w:eastAsia="zh-CN"/>
        </w:rPr>
        <w:t>4万元</w:t>
      </w:r>
      <w:r>
        <w:rPr>
          <w:rFonts w:hint="eastAsia" w:ascii="Times New Roman" w:hAnsi="Times New Roman" w:eastAsia="仿宋_GB2312" w:cs="仿宋"/>
          <w:sz w:val="32"/>
          <w:szCs w:val="32"/>
          <w:highlight w:val="none"/>
        </w:rPr>
        <w:t>、手续费</w:t>
      </w:r>
      <w:r>
        <w:rPr>
          <w:rFonts w:hint="eastAsia" w:eastAsia="仿宋_GB2312" w:cs="仿宋"/>
          <w:sz w:val="32"/>
          <w:szCs w:val="32"/>
          <w:highlight w:val="none"/>
          <w:lang w:val="en-US" w:eastAsia="zh-CN"/>
        </w:rPr>
        <w:t>0.05万元</w:t>
      </w:r>
      <w:r>
        <w:rPr>
          <w:rFonts w:hint="eastAsia" w:ascii="Times New Roman" w:hAnsi="Times New Roman" w:eastAsia="仿宋_GB2312" w:cs="仿宋"/>
          <w:sz w:val="32"/>
          <w:szCs w:val="32"/>
          <w:highlight w:val="none"/>
        </w:rPr>
        <w:t>、邮电费</w:t>
      </w:r>
      <w:r>
        <w:rPr>
          <w:rFonts w:hint="eastAsia" w:eastAsia="仿宋_GB2312" w:cs="仿宋"/>
          <w:sz w:val="32"/>
          <w:szCs w:val="32"/>
          <w:highlight w:val="none"/>
          <w:lang w:val="en-US" w:eastAsia="zh-CN"/>
        </w:rPr>
        <w:t>1万元</w:t>
      </w:r>
      <w:r>
        <w:rPr>
          <w:rFonts w:hint="eastAsia" w:ascii="Times New Roman" w:hAnsi="Times New Roman" w:eastAsia="仿宋_GB2312" w:cs="仿宋"/>
          <w:sz w:val="32"/>
          <w:szCs w:val="32"/>
          <w:highlight w:val="none"/>
        </w:rPr>
        <w:t>、差旅费</w:t>
      </w:r>
      <w:r>
        <w:rPr>
          <w:rFonts w:hint="eastAsia" w:eastAsia="仿宋_GB2312" w:cs="仿宋"/>
          <w:sz w:val="32"/>
          <w:szCs w:val="32"/>
          <w:highlight w:val="none"/>
          <w:lang w:val="en-US" w:eastAsia="zh-CN"/>
        </w:rPr>
        <w:t>0.9万元</w:t>
      </w:r>
      <w:r>
        <w:rPr>
          <w:rFonts w:hint="eastAsia" w:ascii="Times New Roman" w:hAnsi="Times New Roman" w:eastAsia="仿宋_GB2312" w:cs="仿宋"/>
          <w:sz w:val="32"/>
          <w:szCs w:val="32"/>
          <w:highlight w:val="none"/>
        </w:rPr>
        <w:t>、公务用车运行维护费</w:t>
      </w:r>
      <w:r>
        <w:rPr>
          <w:rFonts w:hint="eastAsia" w:eastAsia="仿宋_GB2312" w:cs="仿宋"/>
          <w:sz w:val="32"/>
          <w:szCs w:val="32"/>
          <w:highlight w:val="none"/>
          <w:lang w:val="en-US" w:eastAsia="zh-CN"/>
        </w:rPr>
        <w:t>0.65万元</w:t>
      </w:r>
      <w:r>
        <w:rPr>
          <w:rFonts w:hint="eastAsia" w:ascii="Times New Roman" w:hAnsi="Times New Roman" w:eastAsia="仿宋_GB2312" w:cs="仿宋"/>
          <w:sz w:val="32"/>
          <w:szCs w:val="32"/>
          <w:highlight w:val="none"/>
        </w:rPr>
        <w:t>、其他交通费用</w:t>
      </w:r>
      <w:r>
        <w:rPr>
          <w:rFonts w:hint="eastAsia" w:eastAsia="仿宋_GB2312" w:cs="仿宋"/>
          <w:sz w:val="32"/>
          <w:szCs w:val="32"/>
          <w:highlight w:val="none"/>
          <w:lang w:val="en-US" w:eastAsia="zh-CN"/>
        </w:rPr>
        <w:t>9.54万元</w:t>
      </w:r>
      <w:r>
        <w:rPr>
          <w:rFonts w:hint="eastAsia" w:ascii="Times New Roman" w:hAnsi="Times New Roman" w:eastAsia="仿宋_GB2312" w:cs="仿宋"/>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七、一般公共预算“三公”经费</w:t>
      </w:r>
      <w:r>
        <w:rPr>
          <w:rFonts w:hint="eastAsia" w:eastAsia="黑体" w:cs="黑体"/>
          <w:sz w:val="32"/>
          <w:szCs w:val="36"/>
          <w:highlight w:val="none"/>
        </w:rPr>
        <w:t>支出预算情况说明</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通辽市科学技术协会本级</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年度一般公共预算拨款安排的“三公”经费预算支出</w:t>
      </w:r>
      <w:r>
        <w:rPr>
          <w:rFonts w:hint="eastAsia" w:eastAsia="仿宋_GB2312"/>
          <w:sz w:val="32"/>
          <w:szCs w:val="32"/>
          <w:highlight w:val="none"/>
          <w:u w:val="single"/>
          <w:lang w:val="en-US" w:eastAsia="zh-CN"/>
        </w:rPr>
        <w:t>0.65</w:t>
      </w:r>
      <w:r>
        <w:rPr>
          <w:rFonts w:eastAsia="仿宋_GB2312"/>
          <w:sz w:val="32"/>
          <w:szCs w:val="32"/>
          <w:highlight w:val="none"/>
        </w:rPr>
        <w:t>万元，其中因公出国（境）费支出</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；公务用车购置及运行维护费支出</w:t>
      </w:r>
      <w:r>
        <w:rPr>
          <w:rFonts w:hint="eastAsia" w:eastAsia="仿宋_GB2312"/>
          <w:sz w:val="32"/>
          <w:szCs w:val="32"/>
          <w:highlight w:val="none"/>
          <w:u w:val="single"/>
          <w:lang w:val="en-US" w:eastAsia="zh-CN"/>
        </w:rPr>
        <w:t>0.65</w:t>
      </w:r>
      <w:r>
        <w:rPr>
          <w:rFonts w:eastAsia="仿宋_GB2312"/>
          <w:sz w:val="32"/>
          <w:szCs w:val="32"/>
          <w:highlight w:val="none"/>
        </w:rPr>
        <w:t>万元，占</w:t>
      </w:r>
      <w:r>
        <w:rPr>
          <w:rFonts w:eastAsia="仿宋_GB2312"/>
          <w:sz w:val="32"/>
          <w:szCs w:val="32"/>
          <w:highlight w:val="none"/>
          <w:u w:val="single"/>
        </w:rPr>
        <w:tab/>
      </w:r>
      <w:r>
        <w:rPr>
          <w:rFonts w:hint="eastAsia" w:eastAsia="仿宋_GB2312"/>
          <w:sz w:val="32"/>
          <w:szCs w:val="32"/>
          <w:highlight w:val="none"/>
          <w:u w:val="single"/>
          <w:lang w:val="en-US" w:eastAsia="zh-CN"/>
        </w:rPr>
        <w:t>100</w:t>
      </w:r>
      <w:r>
        <w:rPr>
          <w:rFonts w:hint="eastAsia" w:ascii="仿宋_GB2312" w:hAnsi="仿宋_GB2312" w:eastAsia="仿宋_GB2312"/>
          <w:sz w:val="32"/>
          <w:szCs w:val="32"/>
          <w:highlight w:val="none"/>
          <w:lang w:eastAsia="zh-CN"/>
        </w:rPr>
        <w:t>%</w:t>
      </w:r>
      <w:r>
        <w:rPr>
          <w:rFonts w:eastAsia="仿宋_GB2312"/>
          <w:sz w:val="32"/>
          <w:szCs w:val="32"/>
          <w:highlight w:val="none"/>
        </w:rPr>
        <w:t>；公务接待费支出</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。具体情况如下：</w:t>
      </w:r>
    </w:p>
    <w:p>
      <w:pPr>
        <w:spacing w:line="600" w:lineRule="exact"/>
        <w:ind w:left="29" w:right="96" w:firstLine="650"/>
        <w:rPr>
          <w:rFonts w:eastAsia="仿宋_GB2312"/>
          <w:sz w:val="32"/>
          <w:szCs w:val="32"/>
          <w:highlight w:val="none"/>
        </w:rPr>
      </w:pPr>
      <w:r>
        <w:rPr>
          <w:rFonts w:eastAsia="仿宋_GB2312"/>
          <w:sz w:val="32"/>
          <w:szCs w:val="32"/>
          <w:highlight w:val="none"/>
        </w:rPr>
        <w:t>一般公共预算拨款安排的“三公”经费预算支出</w:t>
      </w:r>
      <w:r>
        <w:rPr>
          <w:rFonts w:hint="eastAsia" w:eastAsia="仿宋_GB2312"/>
          <w:sz w:val="32"/>
          <w:szCs w:val="32"/>
          <w:highlight w:val="none"/>
          <w:u w:val="single"/>
          <w:lang w:val="en-US" w:eastAsia="zh-CN"/>
        </w:rPr>
        <w:t>0.65</w:t>
      </w:r>
      <w:r>
        <w:rPr>
          <w:rFonts w:eastAsia="仿宋_GB2312"/>
          <w:spacing w:val="-4"/>
          <w:sz w:val="32"/>
          <w:szCs w:val="32"/>
          <w:highlight w:val="none"/>
        </w:rPr>
        <w:t>万元，比上年预</w:t>
      </w:r>
      <w:r>
        <w:rPr>
          <w:rFonts w:eastAsia="仿宋_GB2312"/>
          <w:spacing w:val="-6"/>
          <w:sz w:val="32"/>
          <w:szCs w:val="32"/>
          <w:highlight w:val="none"/>
        </w:rPr>
        <w:t>算</w:t>
      </w:r>
      <w:r>
        <w:rPr>
          <w:rFonts w:hint="eastAsia" w:eastAsia="仿宋_GB2312"/>
          <w:spacing w:val="-6"/>
          <w:sz w:val="32"/>
          <w:szCs w:val="32"/>
          <w:highlight w:val="none"/>
          <w:lang w:val="en-US" w:eastAsia="zh-CN"/>
        </w:rPr>
        <w:t>增加</w:t>
      </w:r>
      <w:r>
        <w:rPr>
          <w:rFonts w:hint="eastAsia" w:eastAsia="仿宋_GB2312"/>
          <w:sz w:val="32"/>
          <w:szCs w:val="32"/>
          <w:highlight w:val="none"/>
          <w:u w:val="single"/>
          <w:lang w:val="en-US" w:eastAsia="zh-CN"/>
        </w:rPr>
        <w:t>0.1</w:t>
      </w:r>
      <w:r>
        <w:rPr>
          <w:rFonts w:eastAsia="仿宋_GB2312"/>
          <w:spacing w:val="-6"/>
          <w:sz w:val="32"/>
          <w:szCs w:val="32"/>
          <w:highlight w:val="none"/>
        </w:rPr>
        <w:t>万元，</w:t>
      </w:r>
      <w:r>
        <w:rPr>
          <w:rFonts w:hint="eastAsia" w:eastAsia="仿宋_GB2312"/>
          <w:sz w:val="32"/>
          <w:szCs w:val="32"/>
          <w:highlight w:val="none"/>
          <w:lang w:val="en-US" w:eastAsia="zh-CN"/>
        </w:rPr>
        <w:t>增长</w:t>
      </w:r>
      <w:r>
        <w:rPr>
          <w:rFonts w:hint="eastAsia" w:eastAsia="仿宋_GB2312"/>
          <w:sz w:val="32"/>
          <w:szCs w:val="32"/>
          <w:highlight w:val="none"/>
          <w:u w:val="single"/>
          <w:lang w:val="en-US" w:eastAsia="zh-CN"/>
        </w:rPr>
        <w:t>15.62</w:t>
      </w:r>
      <w:r>
        <w:rPr>
          <w:rFonts w:hint="eastAsia" w:ascii="仿宋_GB2312" w:hAnsi="仿宋_GB2312" w:eastAsia="仿宋_GB2312"/>
          <w:sz w:val="32"/>
          <w:szCs w:val="32"/>
          <w:highlight w:val="none"/>
          <w:lang w:eastAsia="zh-CN"/>
        </w:rPr>
        <w:t>%</w:t>
      </w:r>
      <w:r>
        <w:rPr>
          <w:rFonts w:eastAsia="仿宋_GB2312"/>
          <w:spacing w:val="-6"/>
          <w:sz w:val="32"/>
          <w:szCs w:val="32"/>
          <w:highlight w:val="none"/>
        </w:rPr>
        <w:t>；</w:t>
      </w:r>
      <w:r>
        <w:rPr>
          <w:rFonts w:eastAsia="仿宋_GB2312"/>
          <w:spacing w:val="-4"/>
          <w:sz w:val="32"/>
          <w:szCs w:val="32"/>
          <w:highlight w:val="none"/>
        </w:rPr>
        <w:t>其中：</w:t>
      </w:r>
    </w:p>
    <w:p>
      <w:pPr>
        <w:pStyle w:val="10"/>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1．因公出国（境）费预算支出</w:t>
      </w:r>
      <w:r>
        <w:rPr>
          <w:rFonts w:hint="eastAsia" w:eastAsia="仿宋_GB2312"/>
          <w:sz w:val="32"/>
          <w:szCs w:val="32"/>
          <w:highlight w:val="none"/>
          <w:u w:val="single"/>
          <w:lang w:val="en-US" w:eastAsia="zh-CN"/>
        </w:rPr>
        <w:t>0</w:t>
      </w:r>
      <w:r>
        <w:rPr>
          <w:rFonts w:eastAsia="仿宋_GB2312"/>
          <w:sz w:val="32"/>
          <w:szCs w:val="32"/>
          <w:highlight w:val="none"/>
        </w:rPr>
        <w:t>万元，比上年预算增加</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w:t>
      </w:r>
      <w:r>
        <w:rPr>
          <w:rFonts w:hint="eastAsia" w:ascii="仿宋_GB2312" w:hAnsi="仿宋_GB2312" w:eastAsia="仿宋_GB2312"/>
          <w:sz w:val="32"/>
          <w:szCs w:val="32"/>
          <w:highlight w:val="none"/>
          <w:lang w:val="en-US" w:eastAsia="zh-CN"/>
        </w:rPr>
        <w:t>本单位不存在此项内容</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2．公务用车购置及运行维护费预算支出</w:t>
      </w:r>
      <w:r>
        <w:rPr>
          <w:rFonts w:hint="eastAsia" w:eastAsia="仿宋_GB2312"/>
          <w:sz w:val="32"/>
          <w:szCs w:val="32"/>
          <w:highlight w:val="none"/>
          <w:u w:val="single"/>
          <w:lang w:val="en-US" w:eastAsia="zh-CN"/>
        </w:rPr>
        <w:t>0.65</w:t>
      </w:r>
      <w:r>
        <w:rPr>
          <w:rFonts w:eastAsia="仿宋_GB2312"/>
          <w:sz w:val="32"/>
          <w:szCs w:val="32"/>
          <w:highlight w:val="none"/>
        </w:rPr>
        <w:t>万元。其中：</w:t>
      </w:r>
    </w:p>
    <w:p>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（1）公务用车购置预算支出</w:t>
      </w:r>
      <w:r>
        <w:rPr>
          <w:rFonts w:hint="eastAsia" w:eastAsia="仿宋_GB2312"/>
          <w:sz w:val="32"/>
          <w:szCs w:val="32"/>
          <w:highlight w:val="none"/>
          <w:u w:val="single"/>
          <w:lang w:val="en-US" w:eastAsia="zh-CN"/>
        </w:rPr>
        <w:t>0</w:t>
      </w:r>
      <w:r>
        <w:rPr>
          <w:rFonts w:eastAsia="仿宋_GB2312"/>
          <w:sz w:val="32"/>
          <w:szCs w:val="32"/>
          <w:highlight w:val="none"/>
        </w:rPr>
        <w:t>万元，比上年预算增加</w:t>
      </w:r>
      <w:r>
        <w:rPr>
          <w:rFonts w:hint="eastAsia" w:eastAsia="仿宋_GB2312"/>
          <w:sz w:val="32"/>
          <w:szCs w:val="32"/>
          <w:highlight w:val="none"/>
          <w:u w:val="single"/>
          <w:lang w:val="en-US" w:eastAsia="zh-CN"/>
        </w:rPr>
        <w:t>0</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w:t>
      </w:r>
      <w:r>
        <w:rPr>
          <w:rFonts w:hint="eastAsia" w:ascii="仿宋_GB2312" w:hAnsi="仿宋_GB2312" w:eastAsia="仿宋_GB2312"/>
          <w:sz w:val="32"/>
          <w:szCs w:val="32"/>
          <w:highlight w:val="none"/>
          <w:lang w:val="en-US" w:eastAsia="zh-CN"/>
        </w:rPr>
        <w:t>本单位不存在此项内容</w:t>
      </w:r>
      <w:r>
        <w:rPr>
          <w:rFonts w:eastAsia="仿宋_GB2312"/>
          <w:sz w:val="32"/>
          <w:szCs w:val="32"/>
          <w:highlight w:val="none"/>
        </w:rPr>
        <w:t>。</w:t>
      </w:r>
    </w:p>
    <w:p>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（2）公务用车运行维护费预算支出</w:t>
      </w:r>
      <w:r>
        <w:rPr>
          <w:rFonts w:hint="eastAsia" w:eastAsia="仿宋_GB2312"/>
          <w:sz w:val="32"/>
          <w:szCs w:val="32"/>
          <w:highlight w:val="none"/>
          <w:u w:val="single"/>
          <w:lang w:val="en-US" w:eastAsia="zh-CN"/>
        </w:rPr>
        <w:t>0.65</w:t>
      </w:r>
      <w:r>
        <w:rPr>
          <w:rFonts w:eastAsia="仿宋_GB2312"/>
          <w:sz w:val="32"/>
          <w:szCs w:val="32"/>
          <w:highlight w:val="none"/>
        </w:rPr>
        <w:t>万元，比上年预算增加</w:t>
      </w:r>
      <w:r>
        <w:rPr>
          <w:rFonts w:hint="eastAsia" w:eastAsia="仿宋_GB2312"/>
          <w:sz w:val="32"/>
          <w:szCs w:val="32"/>
          <w:highlight w:val="none"/>
          <w:u w:val="single"/>
          <w:lang w:val="en-US" w:eastAsia="zh-CN"/>
        </w:rPr>
        <w:t>0.1</w:t>
      </w:r>
      <w:r>
        <w:rPr>
          <w:rFonts w:eastAsia="仿宋_GB2312"/>
          <w:sz w:val="32"/>
          <w:szCs w:val="32"/>
          <w:highlight w:val="none"/>
        </w:rPr>
        <w:t>万元，主要原因</w:t>
      </w:r>
      <w:r>
        <w:rPr>
          <w:rFonts w:hint="eastAsia" w:eastAsia="仿宋_GB2312"/>
          <w:sz w:val="32"/>
          <w:szCs w:val="32"/>
          <w:highlight w:val="none"/>
          <w:lang w:eastAsia="zh-CN"/>
        </w:rPr>
        <w:t>：</w:t>
      </w:r>
      <w:r>
        <w:rPr>
          <w:rFonts w:hint="eastAsia" w:eastAsia="仿宋_GB2312"/>
          <w:sz w:val="32"/>
          <w:szCs w:val="32"/>
          <w:highlight w:val="none"/>
          <w:lang w:val="en-US" w:eastAsia="zh-CN"/>
        </w:rPr>
        <w:t>按照公务用车保险费实际产生费用制定预算</w:t>
      </w:r>
      <w:r>
        <w:rPr>
          <w:rFonts w:eastAsia="仿宋_GB2312"/>
          <w:sz w:val="32"/>
          <w:szCs w:val="32"/>
          <w:highlight w:val="none"/>
        </w:rPr>
        <w:t>。</w:t>
      </w:r>
    </w:p>
    <w:p>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3．公务接待费预算支出</w:t>
      </w:r>
      <w:r>
        <w:rPr>
          <w:rFonts w:hint="eastAsia" w:eastAsia="仿宋_GB2312"/>
          <w:sz w:val="32"/>
          <w:szCs w:val="32"/>
          <w:highlight w:val="none"/>
          <w:u w:val="single"/>
          <w:lang w:val="en-US" w:eastAsia="zh-CN"/>
        </w:rPr>
        <w:t>0</w:t>
      </w:r>
      <w:r>
        <w:rPr>
          <w:rFonts w:eastAsia="仿宋_GB2312"/>
          <w:sz w:val="32"/>
          <w:szCs w:val="32"/>
          <w:highlight w:val="none"/>
        </w:rPr>
        <w:t>万元，比上年预算增加</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w:t>
      </w:r>
      <w:r>
        <w:rPr>
          <w:rFonts w:hint="eastAsia" w:ascii="仿宋_GB2312" w:hAnsi="仿宋_GB2312" w:eastAsia="仿宋_GB2312"/>
          <w:sz w:val="32"/>
          <w:szCs w:val="32"/>
          <w:highlight w:val="none"/>
          <w:lang w:val="en-US" w:eastAsia="zh-CN"/>
        </w:rPr>
        <w:t>本单位不存在此项内容</w:t>
      </w:r>
      <w:r>
        <w:rPr>
          <w:rFonts w:eastAsia="仿宋_GB2312"/>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八、政府性基金预算支出预算情况说明</w:t>
      </w:r>
    </w:p>
    <w:p>
      <w:pPr>
        <w:pStyle w:val="10"/>
        <w:spacing w:after="0" w:line="600" w:lineRule="exact"/>
        <w:ind w:left="17" w:leftChars="8"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通辽市科学技术协会本级</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年度政府性基金支出预算支出</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w:t>
      </w:r>
      <w:r>
        <w:rPr>
          <w:rFonts w:hint="eastAsia" w:eastAsia="仿宋_GB2312"/>
          <w:sz w:val="32"/>
          <w:szCs w:val="32"/>
          <w:highlight w:val="none"/>
          <w:lang w:eastAsia="zh-CN"/>
        </w:rPr>
        <w:t>：</w:t>
      </w:r>
      <w:r>
        <w:rPr>
          <w:rFonts w:hint="eastAsia" w:ascii="Times New Roman" w:hAnsi="Times New Roman" w:eastAsia="仿宋_GB2312" w:cs="仿宋"/>
          <w:sz w:val="32"/>
          <w:szCs w:val="32"/>
          <w:highlight w:val="none"/>
        </w:rPr>
        <w:t>本年无政府性基金预算支出</w:t>
      </w:r>
      <w:r>
        <w:rPr>
          <w:rFonts w:eastAsia="仿宋_GB2312"/>
          <w:sz w:val="32"/>
          <w:szCs w:val="32"/>
          <w:highlight w:val="none"/>
        </w:rPr>
        <w:t>。</w:t>
      </w:r>
    </w:p>
    <w:p>
      <w:pPr>
        <w:spacing w:line="600" w:lineRule="exact"/>
        <w:ind w:left="0" w:leftChars="0" w:firstLine="640" w:firstLineChars="200"/>
        <w:outlineLvl w:val="2"/>
        <w:rPr>
          <w:rFonts w:eastAsia="仿宋_GB2312" w:cstheme="minorBidi"/>
          <w:sz w:val="32"/>
          <w:szCs w:val="32"/>
          <w:highlight w:val="none"/>
        </w:rPr>
      </w:pPr>
      <w:r>
        <w:rPr>
          <w:rFonts w:hint="eastAsia" w:eastAsia="黑体" w:cs="黑体"/>
          <w:sz w:val="32"/>
          <w:szCs w:val="36"/>
          <w:highlight w:val="none"/>
        </w:rPr>
        <w:t>九、国有资本经营预算支出预算情况说明</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val="en-US" w:eastAsia="zh-CN"/>
        </w:rPr>
        <w:t>通辽市科学技术协会本级</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w:t>
      </w:r>
      <w:r>
        <w:rPr>
          <w:rFonts w:hint="eastAsia" w:eastAsia="仿宋_GB2312" w:cstheme="minorBidi"/>
          <w:sz w:val="32"/>
          <w:szCs w:val="32"/>
          <w:highlight w:val="none"/>
        </w:rPr>
        <w:t>国有资本经营预算支出</w:t>
      </w:r>
      <w:r>
        <w:rPr>
          <w:rFonts w:hint="eastAsia" w:eastAsia="仿宋_GB2312" w:cstheme="minorBidi"/>
          <w:sz w:val="32"/>
          <w:szCs w:val="32"/>
          <w:highlight w:val="none"/>
          <w:u w:val="single"/>
          <w:lang w:val="en-US" w:eastAsia="zh-CN"/>
        </w:rPr>
        <w:t>0</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万元。与上年相比增加</w:t>
      </w:r>
      <w:r>
        <w:rPr>
          <w:rFonts w:hint="eastAsia" w:eastAsia="仿宋_GB2312" w:cstheme="minorBidi"/>
          <w:sz w:val="32"/>
          <w:szCs w:val="32"/>
          <w:highlight w:val="none"/>
          <w:u w:val="single"/>
          <w:lang w:val="en-US" w:eastAsia="zh-CN"/>
        </w:rPr>
        <w:t>0</w:t>
      </w:r>
      <w:r>
        <w:rPr>
          <w:rFonts w:hint="eastAsia" w:eastAsia="仿宋_GB2312" w:cstheme="minorBidi"/>
          <w:sz w:val="32"/>
          <w:szCs w:val="32"/>
          <w:highlight w:val="none"/>
        </w:rPr>
        <w:t>万元，增长</w:t>
      </w:r>
      <w:r>
        <w:rPr>
          <w:rFonts w:hint="eastAsia" w:eastAsia="仿宋_GB2312" w:cstheme="minorBidi"/>
          <w:sz w:val="32"/>
          <w:szCs w:val="32"/>
          <w:highlight w:val="none"/>
          <w:u w:val="single"/>
          <w:lang w:val="en-US" w:eastAsia="zh-CN"/>
        </w:rPr>
        <w:t>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。主要原因</w:t>
      </w:r>
      <w:r>
        <w:rPr>
          <w:rFonts w:hint="eastAsia" w:eastAsia="仿宋_GB2312"/>
          <w:sz w:val="32"/>
          <w:szCs w:val="32"/>
          <w:highlight w:val="none"/>
          <w:lang w:eastAsia="zh-CN"/>
        </w:rPr>
        <w:t>：</w:t>
      </w:r>
      <w:r>
        <w:rPr>
          <w:rFonts w:hint="eastAsia" w:eastAsia="仿宋_GB2312" w:cstheme="minorBidi"/>
          <w:sz w:val="32"/>
          <w:szCs w:val="32"/>
          <w:highlight w:val="none"/>
        </w:rPr>
        <w:t>本年无国有资本经营预算支出。</w:t>
      </w:r>
    </w:p>
    <w:p>
      <w:pPr>
        <w:spacing w:line="600" w:lineRule="exact"/>
        <w:ind w:left="0" w:leftChars="0" w:firstLine="640" w:firstLineChars="200"/>
        <w:outlineLvl w:val="2"/>
        <w:rPr>
          <w:rFonts w:eastAsia="仿宋_GB2312" w:cstheme="minorBidi"/>
          <w:sz w:val="32"/>
          <w:szCs w:val="32"/>
          <w:highlight w:val="none"/>
        </w:rPr>
      </w:pPr>
      <w:r>
        <w:rPr>
          <w:rFonts w:hint="eastAsia" w:eastAsia="黑体" w:cs="黑体"/>
          <w:sz w:val="32"/>
          <w:szCs w:val="36"/>
          <w:highlight w:val="none"/>
        </w:rPr>
        <w:t>十、项目支出预算情况说明</w:t>
      </w:r>
    </w:p>
    <w:p>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通辽市科学技术协会本级</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年度预算安排项目</w:t>
      </w:r>
      <w:r>
        <w:rPr>
          <w:rFonts w:hint="eastAsia" w:eastAsia="仿宋_GB2312"/>
          <w:sz w:val="32"/>
          <w:szCs w:val="32"/>
          <w:highlight w:val="none"/>
          <w:u w:val="single"/>
          <w:lang w:val="en-US" w:eastAsia="zh-CN"/>
        </w:rPr>
        <w:t>9</w:t>
      </w:r>
      <w:r>
        <w:rPr>
          <w:rFonts w:eastAsia="仿宋_GB2312"/>
          <w:sz w:val="32"/>
          <w:szCs w:val="32"/>
          <w:highlight w:val="none"/>
        </w:rPr>
        <w:t>个，项目预算总金额</w:t>
      </w:r>
      <w:r>
        <w:rPr>
          <w:rFonts w:hint="eastAsia" w:eastAsia="仿宋_GB2312"/>
          <w:sz w:val="32"/>
          <w:szCs w:val="32"/>
          <w:highlight w:val="none"/>
          <w:u w:val="single"/>
          <w:lang w:val="en-US" w:eastAsia="zh-CN"/>
        </w:rPr>
        <w:t>242.8</w:t>
      </w:r>
      <w:r>
        <w:rPr>
          <w:rFonts w:eastAsia="仿宋_GB2312"/>
          <w:sz w:val="32"/>
          <w:szCs w:val="32"/>
          <w:highlight w:val="none"/>
        </w:rPr>
        <w:t>万元。其中，财政本年拨款金额</w:t>
      </w:r>
      <w:r>
        <w:rPr>
          <w:rFonts w:hint="eastAsia" w:eastAsia="仿宋_GB2312"/>
          <w:sz w:val="32"/>
          <w:szCs w:val="32"/>
          <w:highlight w:val="none"/>
          <w:u w:val="single"/>
          <w:lang w:val="en-US" w:eastAsia="zh-CN"/>
        </w:rPr>
        <w:t>242.8</w:t>
      </w:r>
      <w:r>
        <w:rPr>
          <w:rFonts w:eastAsia="仿宋_GB2312"/>
          <w:sz w:val="32"/>
          <w:szCs w:val="32"/>
          <w:highlight w:val="none"/>
        </w:rPr>
        <w:t>万元，财政拨款结转结余</w:t>
      </w:r>
      <w:r>
        <w:rPr>
          <w:rFonts w:hint="eastAsia" w:eastAsia="仿宋_GB2312"/>
          <w:sz w:val="32"/>
          <w:szCs w:val="32"/>
          <w:highlight w:val="none"/>
          <w:u w:val="single"/>
          <w:lang w:val="en-US" w:eastAsia="zh-CN"/>
        </w:rPr>
        <w:t>0</w:t>
      </w:r>
      <w:r>
        <w:rPr>
          <w:rFonts w:eastAsia="仿宋_GB2312"/>
          <w:sz w:val="32"/>
          <w:szCs w:val="32"/>
          <w:highlight w:val="none"/>
        </w:rPr>
        <w:t>万元，财政专户管理资金</w:t>
      </w:r>
      <w:r>
        <w:rPr>
          <w:rFonts w:hint="eastAsia" w:eastAsia="仿宋_GB2312"/>
          <w:sz w:val="32"/>
          <w:szCs w:val="32"/>
          <w:highlight w:val="none"/>
          <w:u w:val="single"/>
          <w:lang w:val="en-US" w:eastAsia="zh-CN"/>
        </w:rPr>
        <w:t>0</w:t>
      </w:r>
      <w:r>
        <w:rPr>
          <w:rFonts w:eastAsia="仿宋_GB2312"/>
          <w:sz w:val="32"/>
          <w:szCs w:val="32"/>
          <w:highlight w:val="none"/>
        </w:rPr>
        <w:t>万元，单位资金</w:t>
      </w:r>
      <w:r>
        <w:rPr>
          <w:rFonts w:hint="eastAsia" w:eastAsia="仿宋_GB2312"/>
          <w:sz w:val="32"/>
          <w:szCs w:val="32"/>
          <w:highlight w:val="none"/>
          <w:u w:val="single"/>
          <w:lang w:val="en-US" w:eastAsia="zh-CN"/>
        </w:rPr>
        <w:t>0</w:t>
      </w:r>
      <w:r>
        <w:rPr>
          <w:rFonts w:eastAsia="仿宋_GB2312"/>
          <w:sz w:val="32"/>
          <w:szCs w:val="32"/>
          <w:highlight w:val="none"/>
        </w:rPr>
        <w:t>万元。</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十一、</w:t>
      </w:r>
      <w:r>
        <w:rPr>
          <w:rFonts w:hint="eastAsia" w:eastAsia="黑体" w:cs="黑体"/>
          <w:sz w:val="32"/>
          <w:szCs w:val="36"/>
          <w:highlight w:val="none"/>
          <w:lang w:val="en-US" w:eastAsia="zh-CN"/>
        </w:rPr>
        <w:t>机构</w:t>
      </w:r>
      <w:r>
        <w:rPr>
          <w:rFonts w:hint="eastAsia" w:eastAsia="黑体" w:cs="黑体"/>
          <w:sz w:val="32"/>
          <w:szCs w:val="36"/>
          <w:highlight w:val="none"/>
        </w:rPr>
        <w:t>运行经费支出预算情况说明</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val="en-US" w:eastAsia="zh-CN"/>
        </w:rPr>
        <w:t>通辽市科学技术协会本级</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w:t>
      </w:r>
      <w:r>
        <w:rPr>
          <w:rFonts w:hint="eastAsia" w:eastAsia="仿宋_GB2312"/>
          <w:sz w:val="32"/>
          <w:szCs w:val="32"/>
          <w:highlight w:val="none"/>
          <w:lang w:val="en-US" w:eastAsia="zh-CN"/>
        </w:rPr>
        <w:t>机构</w:t>
      </w:r>
      <w:r>
        <w:rPr>
          <w:rFonts w:eastAsia="仿宋_GB2312"/>
          <w:sz w:val="32"/>
          <w:szCs w:val="32"/>
          <w:highlight w:val="none"/>
        </w:rPr>
        <w:t>运行经费预算支出</w:t>
      </w:r>
      <w:r>
        <w:rPr>
          <w:rFonts w:hint="eastAsia" w:eastAsia="仿宋_GB2312"/>
          <w:sz w:val="32"/>
          <w:szCs w:val="32"/>
          <w:highlight w:val="none"/>
          <w:u w:val="single"/>
          <w:lang w:val="en-US" w:eastAsia="zh-CN"/>
        </w:rPr>
        <w:t>16.14</w:t>
      </w:r>
      <w:r>
        <w:rPr>
          <w:rFonts w:eastAsia="仿宋_GB2312"/>
          <w:sz w:val="32"/>
          <w:szCs w:val="32"/>
          <w:highlight w:val="none"/>
        </w:rPr>
        <w:t>万元</w:t>
      </w:r>
      <w:r>
        <w:rPr>
          <w:rFonts w:hint="eastAsia" w:eastAsia="仿宋_GB2312" w:cstheme="minorBidi"/>
          <w:sz w:val="32"/>
          <w:szCs w:val="32"/>
          <w:highlight w:val="none"/>
        </w:rPr>
        <w:t>，</w:t>
      </w:r>
      <w:r>
        <w:rPr>
          <w:rFonts w:eastAsia="仿宋_GB2312"/>
          <w:color w:val="000000" w:themeColor="text1"/>
          <w:sz w:val="32"/>
          <w:szCs w:val="32"/>
          <w:highlight w:val="none"/>
          <w14:textFill>
            <w14:solidFill>
              <w14:schemeClr w14:val="tx1"/>
            </w14:solidFill>
          </w14:textFill>
        </w:rPr>
        <w:t>与</w:t>
      </w:r>
      <w:r>
        <w:rPr>
          <w:rFonts w:eastAsia="仿宋_GB2312"/>
          <w:sz w:val="32"/>
          <w:szCs w:val="32"/>
          <w:highlight w:val="none"/>
        </w:rPr>
        <w:t>上年相比增加</w:t>
      </w:r>
      <w:r>
        <w:rPr>
          <w:rFonts w:hint="eastAsia" w:eastAsia="仿宋_GB2312"/>
          <w:sz w:val="32"/>
          <w:szCs w:val="32"/>
          <w:highlight w:val="none"/>
          <w:u w:val="single"/>
          <w:lang w:val="en-US" w:eastAsia="zh-CN"/>
        </w:rPr>
        <w:t>2.82</w:t>
      </w:r>
      <w:r>
        <w:rPr>
          <w:rFonts w:eastAsia="仿宋_GB2312"/>
          <w:sz w:val="32"/>
          <w:szCs w:val="32"/>
          <w:highlight w:val="none"/>
        </w:rPr>
        <w:t>万元，增长</w:t>
      </w:r>
      <w:r>
        <w:rPr>
          <w:rFonts w:hint="eastAsia" w:eastAsia="仿宋_GB2312"/>
          <w:sz w:val="32"/>
          <w:szCs w:val="32"/>
          <w:highlight w:val="none"/>
          <w:u w:val="single"/>
          <w:lang w:val="en-US" w:eastAsia="zh-CN"/>
        </w:rPr>
        <w:t>21.17</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单位人员增加导致公用经费增加</w:t>
      </w:r>
      <w:r>
        <w:rPr>
          <w:rFonts w:eastAsia="仿宋_GB2312"/>
          <w:sz w:val="32"/>
          <w:szCs w:val="32"/>
          <w:highlight w:val="none"/>
        </w:rPr>
        <w:t>。</w:t>
      </w:r>
    </w:p>
    <w:p>
      <w:pPr>
        <w:spacing w:line="600" w:lineRule="exact"/>
        <w:ind w:left="0" w:leftChars="0" w:firstLine="640" w:firstLineChars="200"/>
        <w:outlineLvl w:val="2"/>
        <w:rPr>
          <w:rFonts w:eastAsia="黑体" w:cs="黑体"/>
          <w:b/>
          <w:bCs/>
          <w:sz w:val="32"/>
          <w:szCs w:val="36"/>
          <w:highlight w:val="none"/>
        </w:rPr>
      </w:pPr>
      <w:r>
        <w:rPr>
          <w:rFonts w:hint="eastAsia" w:eastAsia="黑体" w:cs="黑体"/>
          <w:sz w:val="32"/>
          <w:szCs w:val="36"/>
          <w:highlight w:val="none"/>
        </w:rPr>
        <w:t>十二、政府采购支出预算情况说明</w:t>
      </w:r>
    </w:p>
    <w:p>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通辽市科学技术协会本级</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年度政府采购支出预算总额</w:t>
      </w:r>
      <w:r>
        <w:rPr>
          <w:rFonts w:hint="eastAsia" w:eastAsia="仿宋_GB2312"/>
          <w:sz w:val="32"/>
          <w:szCs w:val="32"/>
          <w:highlight w:val="none"/>
          <w:u w:val="single"/>
          <w:lang w:val="en-US" w:eastAsia="zh-CN"/>
        </w:rPr>
        <w:t>17.35</w:t>
      </w:r>
      <w:r>
        <w:rPr>
          <w:rFonts w:eastAsia="仿宋_GB2312"/>
          <w:sz w:val="32"/>
          <w:szCs w:val="32"/>
          <w:highlight w:val="none"/>
          <w:u w:val="single"/>
        </w:rPr>
        <w:t xml:space="preserve"> </w:t>
      </w:r>
      <w:r>
        <w:rPr>
          <w:rFonts w:eastAsia="仿宋_GB2312"/>
          <w:sz w:val="32"/>
          <w:szCs w:val="32"/>
          <w:highlight w:val="none"/>
        </w:rPr>
        <w:t>万元，其中：拟采购货物支出</w:t>
      </w:r>
      <w:r>
        <w:rPr>
          <w:rFonts w:hint="eastAsia" w:eastAsia="仿宋_GB2312"/>
          <w:sz w:val="32"/>
          <w:szCs w:val="32"/>
          <w:highlight w:val="none"/>
          <w:u w:val="single"/>
          <w:lang w:val="en-US" w:eastAsia="zh-CN"/>
        </w:rPr>
        <w:t>5</w:t>
      </w:r>
      <w:r>
        <w:rPr>
          <w:rFonts w:eastAsia="仿宋_GB2312"/>
          <w:sz w:val="32"/>
          <w:szCs w:val="32"/>
          <w:highlight w:val="none"/>
        </w:rPr>
        <w:t>万元、拟采购工程支出</w:t>
      </w:r>
      <w:r>
        <w:rPr>
          <w:rFonts w:hint="eastAsia" w:eastAsia="仿宋_GB2312"/>
          <w:sz w:val="32"/>
          <w:szCs w:val="32"/>
          <w:highlight w:val="none"/>
          <w:u w:val="single"/>
          <w:lang w:val="en-US" w:eastAsia="zh-CN"/>
        </w:rPr>
        <w:t>0</w:t>
      </w:r>
      <w:r>
        <w:rPr>
          <w:rFonts w:eastAsia="仿宋_GB2312"/>
          <w:sz w:val="32"/>
          <w:szCs w:val="32"/>
          <w:highlight w:val="none"/>
        </w:rPr>
        <w:t>万元、拟购买服务支出</w:t>
      </w:r>
      <w:r>
        <w:rPr>
          <w:rFonts w:hint="eastAsia" w:eastAsia="仿宋_GB2312"/>
          <w:sz w:val="32"/>
          <w:szCs w:val="32"/>
          <w:highlight w:val="none"/>
          <w:u w:val="single"/>
          <w:lang w:val="en-US" w:eastAsia="zh-CN"/>
        </w:rPr>
        <w:t>12.35</w:t>
      </w:r>
      <w:r>
        <w:rPr>
          <w:rFonts w:eastAsia="仿宋_GB2312"/>
          <w:sz w:val="32"/>
          <w:szCs w:val="32"/>
          <w:highlight w:val="none"/>
        </w:rPr>
        <w:t>万元。</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十三、国有资产占用情况说明</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val="en-US" w:eastAsia="zh-CN"/>
        </w:rPr>
        <w:t>通辽市科学技术协会本级</w:t>
      </w:r>
      <w:r>
        <w:rPr>
          <w:rFonts w:eastAsia="仿宋_GB2312"/>
          <w:sz w:val="32"/>
          <w:szCs w:val="32"/>
          <w:highlight w:val="none"/>
        </w:rPr>
        <w:t>共有车辆</w:t>
      </w:r>
      <w:r>
        <w:rPr>
          <w:rFonts w:hint="eastAsia" w:eastAsia="仿宋_GB2312"/>
          <w:sz w:val="32"/>
          <w:szCs w:val="32"/>
          <w:highlight w:val="none"/>
          <w:u w:val="single"/>
          <w:lang w:val="en-US" w:eastAsia="zh-CN"/>
        </w:rPr>
        <w:t>2</w:t>
      </w:r>
      <w:r>
        <w:rPr>
          <w:rFonts w:eastAsia="仿宋_GB2312"/>
          <w:sz w:val="32"/>
          <w:szCs w:val="32"/>
          <w:highlight w:val="none"/>
        </w:rPr>
        <w:t>辆，其中，一般公务用车</w:t>
      </w:r>
      <w:r>
        <w:rPr>
          <w:rFonts w:hint="eastAsia" w:eastAsia="仿宋_GB2312"/>
          <w:sz w:val="32"/>
          <w:szCs w:val="32"/>
          <w:highlight w:val="none"/>
          <w:u w:val="single"/>
          <w:lang w:val="en-US" w:eastAsia="zh-CN"/>
        </w:rPr>
        <w:t>1</w:t>
      </w:r>
      <w:r>
        <w:rPr>
          <w:rFonts w:eastAsia="仿宋_GB2312"/>
          <w:sz w:val="32"/>
          <w:szCs w:val="32"/>
          <w:highlight w:val="none"/>
        </w:rPr>
        <w:t>辆、执法执勤用车</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辆、特种专业技术用车</w:t>
      </w:r>
      <w:r>
        <w:rPr>
          <w:rFonts w:hint="eastAsia" w:eastAsia="仿宋_GB2312"/>
          <w:sz w:val="32"/>
          <w:szCs w:val="32"/>
          <w:highlight w:val="none"/>
          <w:u w:val="single"/>
          <w:lang w:val="en-US" w:eastAsia="zh-CN"/>
        </w:rPr>
        <w:t>1</w:t>
      </w:r>
      <w:r>
        <w:rPr>
          <w:rFonts w:eastAsia="仿宋_GB2312"/>
          <w:sz w:val="32"/>
          <w:szCs w:val="32"/>
          <w:highlight w:val="none"/>
        </w:rPr>
        <w:t>辆、业务用车</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辆、其他用车</w:t>
      </w:r>
      <w:r>
        <w:rPr>
          <w:rFonts w:hint="eastAsia" w:eastAsia="仿宋_GB2312"/>
          <w:sz w:val="32"/>
          <w:szCs w:val="32"/>
          <w:highlight w:val="none"/>
          <w:u w:val="single"/>
          <w:lang w:val="en-US" w:eastAsia="zh-CN"/>
        </w:rPr>
        <w:t>0</w:t>
      </w:r>
      <w:r>
        <w:rPr>
          <w:rFonts w:eastAsia="仿宋_GB2312"/>
          <w:sz w:val="32"/>
          <w:szCs w:val="32"/>
          <w:highlight w:val="none"/>
        </w:rPr>
        <w:t>辆等。单价50万元（含）以上的通用设备</w:t>
      </w:r>
      <w:r>
        <w:rPr>
          <w:rFonts w:hint="eastAsia" w:eastAsia="仿宋_GB2312"/>
          <w:sz w:val="32"/>
          <w:szCs w:val="32"/>
          <w:highlight w:val="none"/>
          <w:u w:val="single"/>
          <w:lang w:val="en-US" w:eastAsia="zh-CN"/>
        </w:rPr>
        <w:t>0</w:t>
      </w:r>
      <w:r>
        <w:rPr>
          <w:rFonts w:eastAsia="仿宋_GB2312"/>
          <w:sz w:val="32"/>
          <w:szCs w:val="32"/>
          <w:highlight w:val="none"/>
        </w:rPr>
        <w:t>台（套），单价100万元（含）以上的专用设备</w:t>
      </w:r>
      <w:r>
        <w:rPr>
          <w:rFonts w:hint="eastAsia" w:eastAsia="仿宋_GB2312"/>
          <w:sz w:val="32"/>
          <w:szCs w:val="32"/>
          <w:highlight w:val="none"/>
          <w:u w:val="single"/>
          <w:lang w:val="en-US" w:eastAsia="zh-CN"/>
        </w:rPr>
        <w:t>0</w:t>
      </w:r>
      <w:r>
        <w:rPr>
          <w:rFonts w:eastAsia="仿宋_GB2312"/>
          <w:sz w:val="32"/>
          <w:szCs w:val="32"/>
          <w:highlight w:val="none"/>
        </w:rPr>
        <w:t>台（套）。</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 xml:space="preserve">十四、项目绩效目标情况说明 </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val="en-US" w:eastAsia="zh-CN"/>
        </w:rPr>
        <w:t>通辽市科学技术协会本级</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w:t>
      </w:r>
      <w:r>
        <w:rPr>
          <w:rFonts w:hint="eastAsia" w:eastAsia="仿宋_GB2312" w:cstheme="minorBidi"/>
          <w:sz w:val="32"/>
          <w:szCs w:val="32"/>
          <w:highlight w:val="none"/>
        </w:rPr>
        <w:t>填报绩效目标的预算项目</w:t>
      </w:r>
      <w:r>
        <w:rPr>
          <w:rFonts w:hint="eastAsia" w:eastAsia="仿宋_GB2312" w:cstheme="minorBidi"/>
          <w:sz w:val="32"/>
          <w:szCs w:val="32"/>
          <w:highlight w:val="none"/>
          <w:u w:val="single"/>
          <w:lang w:val="en-US" w:eastAsia="zh-CN"/>
        </w:rPr>
        <w:t>9</w:t>
      </w:r>
      <w:r>
        <w:rPr>
          <w:rFonts w:hint="eastAsia" w:eastAsia="仿宋_GB2312" w:cstheme="minorBidi"/>
          <w:sz w:val="32"/>
          <w:szCs w:val="32"/>
          <w:highlight w:val="none"/>
        </w:rPr>
        <w:t>个，公开</w:t>
      </w:r>
      <w:r>
        <w:rPr>
          <w:rFonts w:hint="eastAsia" w:eastAsia="仿宋_GB2312" w:cstheme="minorBidi"/>
          <w:sz w:val="32"/>
          <w:szCs w:val="32"/>
          <w:highlight w:val="none"/>
          <w:lang w:val="en-US" w:eastAsia="zh-CN"/>
        </w:rPr>
        <w:t>项目</w:t>
      </w:r>
      <w:r>
        <w:rPr>
          <w:rFonts w:hint="eastAsia" w:eastAsia="仿宋_GB2312" w:cstheme="minorBidi"/>
          <w:sz w:val="32"/>
          <w:szCs w:val="32"/>
          <w:highlight w:val="none"/>
          <w:u w:val="single"/>
          <w:lang w:val="en-US" w:eastAsia="zh-CN"/>
        </w:rPr>
        <w:t>9</w:t>
      </w:r>
      <w:r>
        <w:rPr>
          <w:rFonts w:hint="eastAsia" w:eastAsia="仿宋_GB2312" w:cstheme="minorBidi"/>
          <w:sz w:val="32"/>
          <w:szCs w:val="32"/>
          <w:highlight w:val="none"/>
        </w:rPr>
        <w:t>个，公开项目占全部预算项目的100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。公开填报绩效目标的项目预算</w:t>
      </w:r>
      <w:r>
        <w:rPr>
          <w:rFonts w:hint="eastAsia" w:eastAsia="仿宋_GB2312" w:cstheme="minorBidi"/>
          <w:sz w:val="32"/>
          <w:szCs w:val="32"/>
          <w:highlight w:val="none"/>
          <w:u w:val="single"/>
          <w:lang w:val="en-US" w:eastAsia="zh-CN"/>
        </w:rPr>
        <w:t>242.8</w:t>
      </w:r>
      <w:r>
        <w:rPr>
          <w:rFonts w:hint="eastAsia" w:eastAsia="仿宋_GB2312" w:cstheme="minorBidi"/>
          <w:sz w:val="32"/>
          <w:szCs w:val="32"/>
          <w:highlight w:val="none"/>
        </w:rPr>
        <w:t>万元，占全部项目预算的100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 xml:space="preserve">。 </w:t>
      </w:r>
    </w:p>
    <w:p>
      <w:pPr>
        <w:pStyle w:val="2"/>
        <w:spacing w:after="0" w:line="600" w:lineRule="exact"/>
        <w:rPr>
          <w:rFonts w:hint="default" w:ascii="方正小标宋简体" w:hAnsi="方正小标宋简体" w:eastAsia="方正小标宋简体" w:cs="方正小标宋简体"/>
          <w:sz w:val="36"/>
          <w:szCs w:val="36"/>
          <w:highlight w:val="none"/>
        </w:r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2" w:name="_Toc15573"/>
      <w:r>
        <w:rPr>
          <w:rFonts w:hint="eastAsia" w:ascii="方正小标宋简体" w:hAnsi="方正小标宋简体" w:eastAsia="方正小标宋简体" w:cs="方正小标宋简体"/>
          <w:b w:val="0"/>
          <w:bCs w:val="0"/>
          <w:sz w:val="36"/>
          <w:szCs w:val="36"/>
          <w:highlight w:val="none"/>
        </w:rPr>
        <w:t>第三部分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名词解释</w:t>
      </w:r>
      <w:bookmarkEnd w:id="2"/>
    </w:p>
    <w:p>
      <w:pPr>
        <w:rPr>
          <w:sz w:val="36"/>
          <w:szCs w:val="36"/>
          <w:highlight w:val="none"/>
        </w:rPr>
      </w:pP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一、财政拨款：</w:t>
      </w:r>
      <w:r>
        <w:rPr>
          <w:rFonts w:hint="eastAsia" w:eastAsia="仿宋_GB2312" w:cstheme="minorBidi"/>
          <w:sz w:val="32"/>
          <w:szCs w:val="32"/>
          <w:highlight w:val="none"/>
        </w:rPr>
        <w:t>从同级财政部门取得的各类财政拨款，包括一般公共预算拨款、政府性基金预算拨款、国有资本经营预算拨款。</w:t>
      </w:r>
    </w:p>
    <w:p>
      <w:pPr>
        <w:spacing w:line="600" w:lineRule="exact"/>
        <w:ind w:firstLine="643" w:firstLineChars="200"/>
        <w:rPr>
          <w:highlight w:val="none"/>
        </w:rPr>
      </w:pPr>
      <w:r>
        <w:rPr>
          <w:rFonts w:hint="eastAsia" w:eastAsia="仿宋_GB2312" w:cstheme="minorBidi"/>
          <w:b/>
          <w:bCs/>
          <w:sz w:val="32"/>
          <w:szCs w:val="32"/>
          <w:highlight w:val="none"/>
        </w:rPr>
        <w:t>二、一般公共预算拨款收入：</w:t>
      </w:r>
      <w:r>
        <w:rPr>
          <w:rFonts w:hint="eastAsia" w:ascii="Times New Roman" w:hAnsi="Times New Roman" w:eastAsia="仿宋_GB2312" w:cs="仿宋"/>
          <w:bCs/>
          <w:sz w:val="30"/>
          <w:szCs w:val="30"/>
          <w:highlight w:val="none"/>
        </w:rPr>
        <w:t>指财政当年拨付的资金。</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三、财政专户管理资金：</w:t>
      </w:r>
      <w:r>
        <w:rPr>
          <w:rFonts w:hint="eastAsia" w:eastAsia="仿宋_GB2312" w:cstheme="minorBidi"/>
          <w:sz w:val="32"/>
          <w:szCs w:val="32"/>
          <w:highlight w:val="none"/>
        </w:rPr>
        <w:t>缴入财政专户、实行专项管理的高中以上学费、住宿费、高校委托培养费、函大、电大、夜大及短训班培训费等教育收费。</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四、单位资金：</w:t>
      </w:r>
      <w:r>
        <w:rPr>
          <w:rFonts w:hint="eastAsia" w:eastAsia="仿宋_GB2312" w:cstheme="minorBidi"/>
          <w:sz w:val="32"/>
          <w:szCs w:val="32"/>
          <w:highlight w:val="none"/>
        </w:rPr>
        <w:t>除财政拨款收入和财政专户管理资金以外的收入，包括事业收入（不含教育收费）、上级补助收入、附属单位上缴收入、事业单位经营收入及其他收入（包含债务收入、投资收益等）。</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五、基本支出：</w:t>
      </w:r>
      <w:r>
        <w:rPr>
          <w:rFonts w:hint="eastAsia" w:eastAsia="仿宋_GB2312" w:cstheme="minorBidi"/>
          <w:sz w:val="32"/>
          <w:szCs w:val="32"/>
          <w:highlight w:val="none"/>
        </w:rPr>
        <w:t>指为保障机构正常运转、完成工作任务而发生的人员支出和公用支出。</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六、项目支出：</w:t>
      </w:r>
      <w:r>
        <w:rPr>
          <w:rFonts w:hint="eastAsia" w:eastAsia="仿宋_GB2312" w:cstheme="minorBidi"/>
          <w:sz w:val="32"/>
          <w:szCs w:val="32"/>
          <w:highlight w:val="none"/>
        </w:rPr>
        <w:t>指在基本支出之外为完成特定工作任务和事业发展目标所发生的支出。</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七、对个人和家庭的补助：</w:t>
      </w:r>
      <w:r>
        <w:rPr>
          <w:rFonts w:hint="eastAsia" w:eastAsia="仿宋_GB2312" w:cstheme="minorBidi"/>
          <w:sz w:val="32"/>
          <w:szCs w:val="32"/>
          <w:highlight w:val="none"/>
        </w:rPr>
        <w:t>是指政府用于对个人和家庭的补助支出。</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八、“三公”经费：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用一般公共预算财政拨款安排的因公出国（境）费、公务用车购置及运行维护费和公务接待费。其中，因公出国（境）费反映部门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公务出国（境）的住宿费、旅费、伙食补助费、杂费、培训费等支出；公务用车购置及运行维护费反映部门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公务用车购置费、燃料费、维修费、过路过桥费、保险费、安全奖励费用等支出；公务接待费反映部门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按规定开支的各类公务接待（含外宾接待）支出。</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九、</w:t>
      </w:r>
      <w:r>
        <w:rPr>
          <w:rFonts w:hint="eastAsia" w:eastAsia="仿宋_GB2312" w:cstheme="minorBidi"/>
          <w:b/>
          <w:bCs/>
          <w:sz w:val="32"/>
          <w:szCs w:val="32"/>
          <w:highlight w:val="none"/>
          <w:lang w:val="en-US" w:eastAsia="zh-CN"/>
        </w:rPr>
        <w:t>机构</w:t>
      </w:r>
      <w:r>
        <w:rPr>
          <w:rFonts w:hint="eastAsia" w:eastAsia="仿宋_GB2312" w:cstheme="minorBidi"/>
          <w:b/>
          <w:bCs/>
          <w:sz w:val="32"/>
          <w:szCs w:val="32"/>
          <w:highlight w:val="none"/>
        </w:rPr>
        <w:t>运行经费：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spacing w:line="600" w:lineRule="exact"/>
        <w:jc w:val="center"/>
        <w:rPr>
          <w:rFonts w:ascii="方正小标宋简体" w:hAnsi="方正小标宋简体" w:eastAsia="方正小标宋简体" w:cs="方正小标宋简体"/>
          <w:sz w:val="36"/>
          <w:szCs w:val="36"/>
          <w:highlight w:val="none"/>
        </w:r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3" w:name="_Toc21331"/>
      <w:r>
        <w:rPr>
          <w:rFonts w:hint="eastAsia" w:ascii="方正小标宋简体" w:hAnsi="方正小标宋简体" w:eastAsia="方正小标宋简体" w:cs="方正小标宋简体"/>
          <w:b w:val="0"/>
          <w:bCs w:val="0"/>
          <w:sz w:val="36"/>
          <w:szCs w:val="36"/>
          <w:highlight w:val="none"/>
        </w:rPr>
        <w:t>第四部分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预算公开联系方式及信息反馈渠道</w:t>
      </w:r>
      <w:bookmarkEnd w:id="3"/>
    </w:p>
    <w:p>
      <w:pPr>
        <w:snapToGrid w:val="0"/>
        <w:spacing w:line="600" w:lineRule="exact"/>
        <w:rPr>
          <w:rFonts w:ascii="方正小标宋简体" w:hAnsi="方正小标宋简体" w:eastAsia="方正小标宋简体" w:cs="方正小标宋简体"/>
          <w:sz w:val="36"/>
          <w:szCs w:val="36"/>
          <w:highlight w:val="none"/>
        </w:rPr>
      </w:pPr>
    </w:p>
    <w:p>
      <w:pPr>
        <w:snapToGrid w:val="0"/>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本单位预算公开信息反馈和联系方式：</w:t>
      </w:r>
    </w:p>
    <w:p>
      <w:pPr>
        <w:snapToGrid w:val="0"/>
        <w:spacing w:line="600" w:lineRule="exact"/>
        <w:ind w:firstLine="640" w:firstLineChars="200"/>
        <w:rPr>
          <w:rFonts w:hint="default" w:ascii="仿宋_GB2312" w:hAnsi="仿宋_GB2312" w:eastAsia="仿宋_GB2312" w:cs="仿宋_GB2312"/>
          <w:sz w:val="32"/>
          <w:szCs w:val="32"/>
          <w:highlight w:val="none"/>
          <w:lang w:val="en-US" w:eastAsia="zh-CN"/>
        </w:rPr>
        <w:sectPr>
          <w:pgSz w:w="11910" w:h="16840"/>
          <w:pgMar w:top="1580" w:right="1630" w:bottom="280" w:left="1240" w:header="720" w:footer="720" w:gutter="0"/>
          <w:pgNumType w:fmt="numberInDash"/>
          <w:cols w:space="720" w:num="1"/>
        </w:sectPr>
      </w:pPr>
      <w:r>
        <w:rPr>
          <w:rFonts w:hint="eastAsia" w:ascii="仿宋_GB2312" w:hAnsi="仿宋_GB2312" w:eastAsia="仿宋_GB2312" w:cs="仿宋_GB2312"/>
          <w:sz w:val="32"/>
          <w:szCs w:val="32"/>
          <w:highlight w:val="none"/>
        </w:rPr>
        <w:t>联系人：</w:t>
      </w:r>
      <w:r>
        <w:rPr>
          <w:rFonts w:hint="eastAsia" w:ascii="仿宋_GB2312" w:hAnsi="仿宋_GB2312" w:eastAsia="仿宋_GB2312" w:cs="仿宋_GB2312"/>
          <w:sz w:val="32"/>
          <w:szCs w:val="32"/>
          <w:highlight w:val="none"/>
          <w:lang w:val="en-US" w:eastAsia="zh-CN"/>
        </w:rPr>
        <w:t>吴黎黎</w:t>
      </w:r>
      <w:r>
        <w:rPr>
          <w:rFonts w:hint="eastAsia" w:ascii="仿宋_GB2312" w:hAnsi="仿宋_GB2312" w:eastAsia="仿宋_GB2312" w:cs="仿宋_GB2312"/>
          <w:sz w:val="32"/>
          <w:szCs w:val="32"/>
          <w:highlight w:val="none"/>
        </w:rPr>
        <w:t xml:space="preserve">            联系电话：</w:t>
      </w:r>
      <w:r>
        <w:rPr>
          <w:rFonts w:hint="eastAsia" w:ascii="仿宋_GB2312" w:hAnsi="仿宋_GB2312" w:eastAsia="仿宋_GB2312" w:cs="仿宋_GB2312"/>
          <w:sz w:val="32"/>
          <w:szCs w:val="32"/>
          <w:highlight w:val="none"/>
          <w:lang w:val="en-US" w:eastAsia="zh-CN"/>
        </w:rPr>
        <w:t>0475-8836840</w:t>
      </w: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sz w:val="36"/>
          <w:szCs w:val="36"/>
          <w:highlight w:val="none"/>
        </w:rPr>
      </w:pPr>
      <w:bookmarkStart w:id="4" w:name="_Toc2232"/>
      <w:r>
        <w:rPr>
          <w:rFonts w:hint="eastAsia" w:ascii="方正小标宋简体" w:hAnsi="方正小标宋简体" w:eastAsia="方正小标宋简体" w:cs="方正小标宋简体"/>
          <w:b w:val="0"/>
          <w:bCs w:val="0"/>
          <w:sz w:val="36"/>
          <w:szCs w:val="36"/>
          <w:highlight w:val="none"/>
        </w:rPr>
        <w:t xml:space="preserve">第五部分  </w:t>
      </w:r>
      <w:r>
        <w:rPr>
          <w:rFonts w:hint="eastAsia" w:ascii="方正小标宋简体" w:hAnsi="方正小标宋简体" w:eastAsia="方正小标宋简体" w:cs="方正小标宋简体"/>
          <w:b w:val="0"/>
          <w:bCs w:val="0"/>
          <w:sz w:val="36"/>
          <w:szCs w:val="36"/>
          <w:highlight w:val="none"/>
          <w:lang w:val="en-US" w:eastAsia="zh-CN"/>
        </w:rPr>
        <w:t>2024</w:t>
      </w:r>
      <w:r>
        <w:rPr>
          <w:rFonts w:hint="eastAsia" w:ascii="方正小标宋简体" w:hAnsi="方正小标宋简体" w:eastAsia="方正小标宋简体" w:cs="方正小标宋简体"/>
          <w:b w:val="0"/>
          <w:bCs w:val="0"/>
          <w:sz w:val="36"/>
          <w:szCs w:val="36"/>
          <w:highlight w:val="none"/>
        </w:rPr>
        <w:t>年度</w:t>
      </w:r>
      <w:r>
        <w:rPr>
          <w:rFonts w:hint="eastAsia" w:ascii="方正小标宋简体" w:hAnsi="方正小标宋简体" w:eastAsia="方正小标宋简体" w:cs="方正小标宋简体"/>
          <w:b w:val="0"/>
          <w:bCs w:val="0"/>
          <w:sz w:val="36"/>
          <w:szCs w:val="36"/>
          <w:highlight w:val="none"/>
          <w:lang w:val="en-US" w:eastAsia="zh-CN"/>
        </w:rPr>
        <w:t>通辽市科学技术协会本级</w:t>
      </w:r>
      <w:r>
        <w:rPr>
          <w:rFonts w:hint="eastAsia" w:ascii="方正小标宋简体" w:hAnsi="方正小标宋简体" w:eastAsia="方正小标宋简体" w:cs="方正小标宋简体"/>
          <w:b w:val="0"/>
          <w:bCs w:val="0"/>
          <w:sz w:val="36"/>
          <w:szCs w:val="36"/>
          <w:highlight w:val="none"/>
        </w:rPr>
        <w:t>单位</w:t>
      </w:r>
      <w:bookmarkStart w:id="5" w:name="_GoBack"/>
      <w:bookmarkEnd w:id="5"/>
      <w:r>
        <w:rPr>
          <w:rFonts w:hint="eastAsia" w:ascii="方正小标宋简体" w:hAnsi="方正小标宋简体" w:eastAsia="方正小标宋简体" w:cs="方正小标宋简体"/>
          <w:b w:val="0"/>
          <w:bCs w:val="0"/>
          <w:sz w:val="36"/>
          <w:szCs w:val="36"/>
          <w:highlight w:val="none"/>
        </w:rPr>
        <w:t>预算表</w:t>
      </w:r>
      <w:bookmarkEnd w:id="4"/>
    </w:p>
    <w:p>
      <w:pPr>
        <w:pStyle w:val="10"/>
        <w:spacing w:after="0" w:line="600" w:lineRule="exact"/>
        <w:ind w:firstLine="460"/>
        <w:rPr>
          <w:sz w:val="23"/>
          <w:highlight w:val="none"/>
        </w:rPr>
      </w:pPr>
    </w:p>
    <w:p>
      <w:pPr>
        <w:spacing w:line="500" w:lineRule="exact"/>
        <w:ind w:firstLine="640" w:firstLineChars="200"/>
        <w:rPr>
          <w:rFonts w:ascii="仿宋_GB2312" w:hAnsi="黑体" w:eastAsia="仿宋_GB2312"/>
          <w:color w:val="000000"/>
          <w:sz w:val="32"/>
          <w:szCs w:val="32"/>
        </w:rPr>
      </w:pPr>
      <w:r>
        <w:rPr>
          <w:rFonts w:hint="eastAsia" w:ascii="仿宋_GB2312" w:hAnsi="黑体" w:eastAsia="仿宋_GB2312"/>
          <w:color w:val="000000"/>
          <w:sz w:val="32"/>
          <w:szCs w:val="32"/>
        </w:rPr>
        <w:t>详见附表：部门所属单位预算公开</w:t>
      </w:r>
      <w:r>
        <w:rPr>
          <w:rFonts w:hint="eastAsia" w:ascii="仿宋_GB2312" w:hAnsi="黑体" w:eastAsia="仿宋_GB2312"/>
          <w:color w:val="000000"/>
          <w:sz w:val="32"/>
          <w:szCs w:val="32"/>
          <w:lang w:val="en-US" w:eastAsia="zh-CN"/>
        </w:rPr>
        <w:t>12</w:t>
      </w:r>
      <w:r>
        <w:rPr>
          <w:rFonts w:hint="eastAsia" w:ascii="仿宋_GB2312" w:hAnsi="黑体" w:eastAsia="仿宋_GB2312"/>
          <w:color w:val="000000"/>
          <w:sz w:val="32"/>
          <w:szCs w:val="32"/>
        </w:rPr>
        <w:t>张表以分表形式按系统要求上传。项目支出绩效目标表以总表形式上传。</w:t>
      </w:r>
    </w:p>
    <w:p>
      <w:pPr>
        <w:pStyle w:val="2"/>
        <w:ind w:left="0" w:leftChars="0" w:firstLine="0"/>
        <w:rPr>
          <w:rFonts w:hint="default"/>
          <w:highlight w:val="none"/>
        </w:rPr>
      </w:pP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8FE010A-552D-4A9E-8201-01C5650B5337}"/>
  </w:font>
  <w:font w:name="黑体">
    <w:panose1 w:val="02010609060101010101"/>
    <w:charset w:val="86"/>
    <w:family w:val="auto"/>
    <w:pitch w:val="default"/>
    <w:sig w:usb0="800002BF" w:usb1="38CF7CFA" w:usb2="00000016" w:usb3="00000000" w:csb0="00040001" w:csb1="00000000"/>
    <w:embedRegular r:id="rId2" w:fontKey="{2A47979E-0619-4AE2-8D7E-9773D7D15DC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91A94462-4601-4294-B0FE-7ED47B5D0087}"/>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40B0384B-358E-40E7-81AF-835F37898F43}"/>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Helv">
    <w:altName w:val="Segoe Print"/>
    <w:panose1 w:val="020B0604020202030204"/>
    <w:charset w:val="00"/>
    <w:family w:val="swiss"/>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embedRegular r:id="rId5" w:fontKey="{72BD78C5-BC98-4111-8B46-5A7352C64DB4}"/>
  </w:font>
  <w:font w:name="仿宋">
    <w:panose1 w:val="02010609060101010101"/>
    <w:charset w:val="86"/>
    <w:family w:val="modern"/>
    <w:pitch w:val="default"/>
    <w:sig w:usb0="800002BF" w:usb1="38CF7CFA" w:usb2="00000016" w:usb3="00000000" w:csb0="00040001" w:csb1="00000000"/>
    <w:embedRegular r:id="rId6" w:fontKey="{57C41E4E-F127-4A55-B5E2-724899855978}"/>
  </w:font>
  <w:font w:name="楷体">
    <w:panose1 w:val="02010609060101010101"/>
    <w:charset w:val="86"/>
    <w:family w:val="modern"/>
    <w:pitch w:val="default"/>
    <w:sig w:usb0="800002BF" w:usb1="38CF7CFA" w:usb2="00000016" w:usb3="00000000" w:csb0="00040001" w:csb1="00000000"/>
    <w:embedRegular r:id="rId7" w:fontKey="{38918FB7-CB93-4470-B626-5166D4DEAD56}"/>
  </w:font>
  <w:font w:name="微软雅黑">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61312"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61312;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95655" cy="3517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60288;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Dpdn1AAAAAQBAAAPAAAAAAAAAAEAIAAAACIAAABkcnMvZG93bnJldi54bWxQSwEC&#10;FAAUAAAACACHTuJAyGZD2zECAABVBAAADgAAAAAAAAABACAAAAAjAQAAZHJzL2Uyb0RvYy54bWxQ&#10;SwUGAAAAAAYABgBZAQAAxgUAAAAA&#10;">
              <v:fill on="f" focussize="0,0"/>
              <v:stroke on="f" weight="0.5pt"/>
              <v:imagedata o:title=""/>
              <o:lock v:ext="edit" aspectratio="f"/>
              <v:textbox inset="0mm,0mm,0mm,0mm">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v:textbox>
            </v:shape>
          </w:pict>
        </mc:Fallback>
      </mc:AlternateContent>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65B7C3"/>
    <w:multiLevelType w:val="singleLevel"/>
    <w:tmpl w:val="3265B7C3"/>
    <w:lvl w:ilvl="0" w:tentative="0">
      <w:start w:val="1"/>
      <w:numFmt w:val="chineseCounting"/>
      <w:suff w:val="nothing"/>
      <w:lvlText w:val="%1、"/>
      <w:lvlJc w:val="left"/>
      <w:rPr>
        <w:rFonts w:hint="eastAsia"/>
      </w:rPr>
    </w:lvl>
  </w:abstractNum>
  <w:abstractNum w:abstractNumId="1">
    <w:nsid w:val="588E5198"/>
    <w:multiLevelType w:val="singleLevel"/>
    <w:tmpl w:val="588E5198"/>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2NWJmM2ExY2Q4MTU5ZjI3NjQxYzEzMTNkMzk1ODYifQ=="/>
    <w:docVar w:name="KSO_WPS_MARK_KEY" w:val="7fff7819-6258-4fe1-90de-a3ded6eb371c"/>
  </w:docVars>
  <w:rsids>
    <w:rsidRoot w:val="00172A27"/>
    <w:rsid w:val="00000CBF"/>
    <w:rsid w:val="000034CD"/>
    <w:rsid w:val="00003B87"/>
    <w:rsid w:val="000106AF"/>
    <w:rsid w:val="00010F09"/>
    <w:rsid w:val="00010F57"/>
    <w:rsid w:val="00014729"/>
    <w:rsid w:val="000168E2"/>
    <w:rsid w:val="00016E30"/>
    <w:rsid w:val="0001778D"/>
    <w:rsid w:val="00023930"/>
    <w:rsid w:val="0002537D"/>
    <w:rsid w:val="000267C9"/>
    <w:rsid w:val="000316D6"/>
    <w:rsid w:val="00034C3D"/>
    <w:rsid w:val="00035935"/>
    <w:rsid w:val="00035BD9"/>
    <w:rsid w:val="00037650"/>
    <w:rsid w:val="000408B3"/>
    <w:rsid w:val="000409C6"/>
    <w:rsid w:val="00040A7B"/>
    <w:rsid w:val="0004437D"/>
    <w:rsid w:val="00044D5A"/>
    <w:rsid w:val="00047F92"/>
    <w:rsid w:val="000517C8"/>
    <w:rsid w:val="00052722"/>
    <w:rsid w:val="00052AB3"/>
    <w:rsid w:val="000530B5"/>
    <w:rsid w:val="000547DF"/>
    <w:rsid w:val="00056E21"/>
    <w:rsid w:val="00063642"/>
    <w:rsid w:val="00065474"/>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7AD5"/>
    <w:rsid w:val="00097E70"/>
    <w:rsid w:val="000A3463"/>
    <w:rsid w:val="000A3CBA"/>
    <w:rsid w:val="000B179A"/>
    <w:rsid w:val="000B19DD"/>
    <w:rsid w:val="000B271C"/>
    <w:rsid w:val="000B3090"/>
    <w:rsid w:val="000B395D"/>
    <w:rsid w:val="000B4C87"/>
    <w:rsid w:val="000B5E2F"/>
    <w:rsid w:val="000B75C9"/>
    <w:rsid w:val="000C2547"/>
    <w:rsid w:val="000C2657"/>
    <w:rsid w:val="000C3B4A"/>
    <w:rsid w:val="000C7570"/>
    <w:rsid w:val="000D1A18"/>
    <w:rsid w:val="000D4710"/>
    <w:rsid w:val="000E093A"/>
    <w:rsid w:val="000E597B"/>
    <w:rsid w:val="000E63BF"/>
    <w:rsid w:val="000F0BD4"/>
    <w:rsid w:val="000F344F"/>
    <w:rsid w:val="000F6C2D"/>
    <w:rsid w:val="000F7468"/>
    <w:rsid w:val="000F746A"/>
    <w:rsid w:val="00102140"/>
    <w:rsid w:val="00106E16"/>
    <w:rsid w:val="001114EC"/>
    <w:rsid w:val="00112A96"/>
    <w:rsid w:val="001133DF"/>
    <w:rsid w:val="00114F9E"/>
    <w:rsid w:val="001151B8"/>
    <w:rsid w:val="00122854"/>
    <w:rsid w:val="00122B22"/>
    <w:rsid w:val="00123EEA"/>
    <w:rsid w:val="00126508"/>
    <w:rsid w:val="001329DF"/>
    <w:rsid w:val="001342A7"/>
    <w:rsid w:val="00142E3E"/>
    <w:rsid w:val="001432CD"/>
    <w:rsid w:val="0014381D"/>
    <w:rsid w:val="0014464F"/>
    <w:rsid w:val="00152205"/>
    <w:rsid w:val="00153AFD"/>
    <w:rsid w:val="00155332"/>
    <w:rsid w:val="00155E13"/>
    <w:rsid w:val="00157214"/>
    <w:rsid w:val="001602D6"/>
    <w:rsid w:val="00163244"/>
    <w:rsid w:val="00163F67"/>
    <w:rsid w:val="00172A27"/>
    <w:rsid w:val="001735FD"/>
    <w:rsid w:val="001738CA"/>
    <w:rsid w:val="00175368"/>
    <w:rsid w:val="001802D6"/>
    <w:rsid w:val="00183BED"/>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886"/>
    <w:rsid w:val="001B5EC9"/>
    <w:rsid w:val="001B7FCD"/>
    <w:rsid w:val="001C0CDF"/>
    <w:rsid w:val="001C4010"/>
    <w:rsid w:val="001C6BF1"/>
    <w:rsid w:val="001D3C7E"/>
    <w:rsid w:val="001D6D0B"/>
    <w:rsid w:val="001D7958"/>
    <w:rsid w:val="001E0433"/>
    <w:rsid w:val="001E3429"/>
    <w:rsid w:val="001E68D8"/>
    <w:rsid w:val="001E76DB"/>
    <w:rsid w:val="001F4C1E"/>
    <w:rsid w:val="001F6B7A"/>
    <w:rsid w:val="00200204"/>
    <w:rsid w:val="002015D3"/>
    <w:rsid w:val="002039F1"/>
    <w:rsid w:val="002044DF"/>
    <w:rsid w:val="002049F7"/>
    <w:rsid w:val="0021312E"/>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6B"/>
    <w:rsid w:val="002431E6"/>
    <w:rsid w:val="0024416D"/>
    <w:rsid w:val="00244B90"/>
    <w:rsid w:val="00245FFD"/>
    <w:rsid w:val="0025052F"/>
    <w:rsid w:val="0025133B"/>
    <w:rsid w:val="002519F2"/>
    <w:rsid w:val="00251E52"/>
    <w:rsid w:val="00252024"/>
    <w:rsid w:val="00252295"/>
    <w:rsid w:val="002604EC"/>
    <w:rsid w:val="0026390E"/>
    <w:rsid w:val="00266811"/>
    <w:rsid w:val="002670EA"/>
    <w:rsid w:val="00270D49"/>
    <w:rsid w:val="002742F8"/>
    <w:rsid w:val="002748BD"/>
    <w:rsid w:val="00274A4D"/>
    <w:rsid w:val="00274E33"/>
    <w:rsid w:val="00286355"/>
    <w:rsid w:val="00286B1A"/>
    <w:rsid w:val="00287D92"/>
    <w:rsid w:val="00290958"/>
    <w:rsid w:val="00291FC4"/>
    <w:rsid w:val="002926AE"/>
    <w:rsid w:val="00293A42"/>
    <w:rsid w:val="00293F3B"/>
    <w:rsid w:val="00294D1F"/>
    <w:rsid w:val="002A25F0"/>
    <w:rsid w:val="002A38DC"/>
    <w:rsid w:val="002A3F94"/>
    <w:rsid w:val="002A4CC2"/>
    <w:rsid w:val="002B0E96"/>
    <w:rsid w:val="002B21CC"/>
    <w:rsid w:val="002B3658"/>
    <w:rsid w:val="002B37C5"/>
    <w:rsid w:val="002B7E88"/>
    <w:rsid w:val="002D028A"/>
    <w:rsid w:val="002D27EE"/>
    <w:rsid w:val="002D2D64"/>
    <w:rsid w:val="002D3180"/>
    <w:rsid w:val="002D4EA7"/>
    <w:rsid w:val="002D6124"/>
    <w:rsid w:val="002D6167"/>
    <w:rsid w:val="002D70B8"/>
    <w:rsid w:val="002D7791"/>
    <w:rsid w:val="002D7AEB"/>
    <w:rsid w:val="002D7FE5"/>
    <w:rsid w:val="002F0AEA"/>
    <w:rsid w:val="002F0CEB"/>
    <w:rsid w:val="002F1022"/>
    <w:rsid w:val="002F2712"/>
    <w:rsid w:val="002F73C2"/>
    <w:rsid w:val="002F7AA1"/>
    <w:rsid w:val="0030209D"/>
    <w:rsid w:val="00304A27"/>
    <w:rsid w:val="0030703E"/>
    <w:rsid w:val="00307477"/>
    <w:rsid w:val="003115CC"/>
    <w:rsid w:val="00313750"/>
    <w:rsid w:val="00316EA0"/>
    <w:rsid w:val="00321A3C"/>
    <w:rsid w:val="0033160F"/>
    <w:rsid w:val="00331DB0"/>
    <w:rsid w:val="003337F4"/>
    <w:rsid w:val="00335EEB"/>
    <w:rsid w:val="00337D32"/>
    <w:rsid w:val="003406D1"/>
    <w:rsid w:val="0034673B"/>
    <w:rsid w:val="00351751"/>
    <w:rsid w:val="00351CBC"/>
    <w:rsid w:val="00352172"/>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C9F"/>
    <w:rsid w:val="00385D9C"/>
    <w:rsid w:val="00386A78"/>
    <w:rsid w:val="00387B4F"/>
    <w:rsid w:val="00387FDC"/>
    <w:rsid w:val="003900E4"/>
    <w:rsid w:val="003908AD"/>
    <w:rsid w:val="003944BB"/>
    <w:rsid w:val="003945B5"/>
    <w:rsid w:val="00394D62"/>
    <w:rsid w:val="00395D0B"/>
    <w:rsid w:val="00397362"/>
    <w:rsid w:val="003A003A"/>
    <w:rsid w:val="003A1185"/>
    <w:rsid w:val="003A3E3C"/>
    <w:rsid w:val="003A3F4A"/>
    <w:rsid w:val="003A4972"/>
    <w:rsid w:val="003B4A14"/>
    <w:rsid w:val="003B5570"/>
    <w:rsid w:val="003B77B6"/>
    <w:rsid w:val="003C31AB"/>
    <w:rsid w:val="003C35CD"/>
    <w:rsid w:val="003C43EA"/>
    <w:rsid w:val="003C4F65"/>
    <w:rsid w:val="003C53D2"/>
    <w:rsid w:val="003C7866"/>
    <w:rsid w:val="003D0971"/>
    <w:rsid w:val="003D3C90"/>
    <w:rsid w:val="003D5CBF"/>
    <w:rsid w:val="003E02C3"/>
    <w:rsid w:val="003E18C9"/>
    <w:rsid w:val="003F567D"/>
    <w:rsid w:val="003F7782"/>
    <w:rsid w:val="00400588"/>
    <w:rsid w:val="00406AC9"/>
    <w:rsid w:val="0041073B"/>
    <w:rsid w:val="0041167C"/>
    <w:rsid w:val="004138A8"/>
    <w:rsid w:val="0041426C"/>
    <w:rsid w:val="00416FDF"/>
    <w:rsid w:val="00417B37"/>
    <w:rsid w:val="0042054B"/>
    <w:rsid w:val="00420D95"/>
    <w:rsid w:val="004253B8"/>
    <w:rsid w:val="00425ED7"/>
    <w:rsid w:val="00426740"/>
    <w:rsid w:val="00427C2F"/>
    <w:rsid w:val="0043128C"/>
    <w:rsid w:val="00434D44"/>
    <w:rsid w:val="0044228B"/>
    <w:rsid w:val="00442688"/>
    <w:rsid w:val="00442AED"/>
    <w:rsid w:val="00442D5D"/>
    <w:rsid w:val="00444B82"/>
    <w:rsid w:val="004459F0"/>
    <w:rsid w:val="00454633"/>
    <w:rsid w:val="00454737"/>
    <w:rsid w:val="00455BF8"/>
    <w:rsid w:val="00456DB3"/>
    <w:rsid w:val="00456EAD"/>
    <w:rsid w:val="004604FE"/>
    <w:rsid w:val="004611A8"/>
    <w:rsid w:val="00467117"/>
    <w:rsid w:val="00467D70"/>
    <w:rsid w:val="00467DC5"/>
    <w:rsid w:val="004702DB"/>
    <w:rsid w:val="00470C8E"/>
    <w:rsid w:val="00473D33"/>
    <w:rsid w:val="004769DB"/>
    <w:rsid w:val="00481EB5"/>
    <w:rsid w:val="00482B89"/>
    <w:rsid w:val="004833E7"/>
    <w:rsid w:val="004834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5933"/>
    <w:rsid w:val="004C500C"/>
    <w:rsid w:val="004C5FFC"/>
    <w:rsid w:val="004C74F7"/>
    <w:rsid w:val="004D1253"/>
    <w:rsid w:val="004D158E"/>
    <w:rsid w:val="004D2861"/>
    <w:rsid w:val="004D5666"/>
    <w:rsid w:val="004D6BB1"/>
    <w:rsid w:val="004D7A03"/>
    <w:rsid w:val="004D7DBF"/>
    <w:rsid w:val="004E0454"/>
    <w:rsid w:val="004E06ED"/>
    <w:rsid w:val="004E1457"/>
    <w:rsid w:val="004E4A43"/>
    <w:rsid w:val="004E4BBF"/>
    <w:rsid w:val="004F2CDD"/>
    <w:rsid w:val="004F4D87"/>
    <w:rsid w:val="004F55CD"/>
    <w:rsid w:val="004F58A0"/>
    <w:rsid w:val="004F5F12"/>
    <w:rsid w:val="004F6692"/>
    <w:rsid w:val="004F77B0"/>
    <w:rsid w:val="00501EEF"/>
    <w:rsid w:val="00502A31"/>
    <w:rsid w:val="00505021"/>
    <w:rsid w:val="00506790"/>
    <w:rsid w:val="00510EFF"/>
    <w:rsid w:val="00511717"/>
    <w:rsid w:val="00511B53"/>
    <w:rsid w:val="005146EE"/>
    <w:rsid w:val="005160E3"/>
    <w:rsid w:val="005161E3"/>
    <w:rsid w:val="00516B40"/>
    <w:rsid w:val="005203F0"/>
    <w:rsid w:val="00521E09"/>
    <w:rsid w:val="00525EB0"/>
    <w:rsid w:val="00535551"/>
    <w:rsid w:val="0053664B"/>
    <w:rsid w:val="00540718"/>
    <w:rsid w:val="00540B71"/>
    <w:rsid w:val="00541F46"/>
    <w:rsid w:val="0054292B"/>
    <w:rsid w:val="005440BF"/>
    <w:rsid w:val="0054661A"/>
    <w:rsid w:val="005510D1"/>
    <w:rsid w:val="00552574"/>
    <w:rsid w:val="00554DCA"/>
    <w:rsid w:val="00556C59"/>
    <w:rsid w:val="00557E0E"/>
    <w:rsid w:val="005604D0"/>
    <w:rsid w:val="005614CC"/>
    <w:rsid w:val="005615F3"/>
    <w:rsid w:val="0056225D"/>
    <w:rsid w:val="00562E92"/>
    <w:rsid w:val="005639FA"/>
    <w:rsid w:val="0056420B"/>
    <w:rsid w:val="00564ABA"/>
    <w:rsid w:val="005653F5"/>
    <w:rsid w:val="00571BB6"/>
    <w:rsid w:val="00572A14"/>
    <w:rsid w:val="0057572A"/>
    <w:rsid w:val="00576A02"/>
    <w:rsid w:val="0058236D"/>
    <w:rsid w:val="00582BA2"/>
    <w:rsid w:val="00583D19"/>
    <w:rsid w:val="0058789A"/>
    <w:rsid w:val="00593F60"/>
    <w:rsid w:val="00594E72"/>
    <w:rsid w:val="00594E89"/>
    <w:rsid w:val="00595732"/>
    <w:rsid w:val="005957A8"/>
    <w:rsid w:val="005A0020"/>
    <w:rsid w:val="005A0592"/>
    <w:rsid w:val="005A09E0"/>
    <w:rsid w:val="005A1BC7"/>
    <w:rsid w:val="005A7383"/>
    <w:rsid w:val="005B155E"/>
    <w:rsid w:val="005B1651"/>
    <w:rsid w:val="005B1D05"/>
    <w:rsid w:val="005B544A"/>
    <w:rsid w:val="005B570B"/>
    <w:rsid w:val="005B5DBA"/>
    <w:rsid w:val="005B5ECD"/>
    <w:rsid w:val="005C5D3B"/>
    <w:rsid w:val="005C773C"/>
    <w:rsid w:val="005D2118"/>
    <w:rsid w:val="005D476C"/>
    <w:rsid w:val="005D5AEF"/>
    <w:rsid w:val="005E031D"/>
    <w:rsid w:val="005E2226"/>
    <w:rsid w:val="005F007E"/>
    <w:rsid w:val="005F22D5"/>
    <w:rsid w:val="005F2659"/>
    <w:rsid w:val="005F3198"/>
    <w:rsid w:val="005F5238"/>
    <w:rsid w:val="005F5B86"/>
    <w:rsid w:val="00603A8C"/>
    <w:rsid w:val="00607135"/>
    <w:rsid w:val="00610D76"/>
    <w:rsid w:val="0061425B"/>
    <w:rsid w:val="00615CCA"/>
    <w:rsid w:val="00616504"/>
    <w:rsid w:val="00616551"/>
    <w:rsid w:val="00617C3C"/>
    <w:rsid w:val="00623384"/>
    <w:rsid w:val="006236AD"/>
    <w:rsid w:val="0063195F"/>
    <w:rsid w:val="00632944"/>
    <w:rsid w:val="006355A9"/>
    <w:rsid w:val="00637A4F"/>
    <w:rsid w:val="00641CD5"/>
    <w:rsid w:val="00642BB6"/>
    <w:rsid w:val="00644031"/>
    <w:rsid w:val="00644FBC"/>
    <w:rsid w:val="00647134"/>
    <w:rsid w:val="00652DB9"/>
    <w:rsid w:val="0065703E"/>
    <w:rsid w:val="006575E7"/>
    <w:rsid w:val="00657673"/>
    <w:rsid w:val="00661E32"/>
    <w:rsid w:val="00662CCA"/>
    <w:rsid w:val="00662EC6"/>
    <w:rsid w:val="00662F26"/>
    <w:rsid w:val="00665B56"/>
    <w:rsid w:val="006720DF"/>
    <w:rsid w:val="00672743"/>
    <w:rsid w:val="00681E9C"/>
    <w:rsid w:val="00682B2E"/>
    <w:rsid w:val="00683341"/>
    <w:rsid w:val="006853C1"/>
    <w:rsid w:val="0068695A"/>
    <w:rsid w:val="00686C54"/>
    <w:rsid w:val="00687D34"/>
    <w:rsid w:val="00691B56"/>
    <w:rsid w:val="00691CC7"/>
    <w:rsid w:val="00691D88"/>
    <w:rsid w:val="00691EC8"/>
    <w:rsid w:val="00693C36"/>
    <w:rsid w:val="0069508B"/>
    <w:rsid w:val="00695904"/>
    <w:rsid w:val="006966EC"/>
    <w:rsid w:val="0069730F"/>
    <w:rsid w:val="00697930"/>
    <w:rsid w:val="006A0A1B"/>
    <w:rsid w:val="006A1B40"/>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F04BC"/>
    <w:rsid w:val="006F520F"/>
    <w:rsid w:val="00700A16"/>
    <w:rsid w:val="00701E0C"/>
    <w:rsid w:val="0070236E"/>
    <w:rsid w:val="00702E1F"/>
    <w:rsid w:val="00705D96"/>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1B12"/>
    <w:rsid w:val="007525B4"/>
    <w:rsid w:val="0075361E"/>
    <w:rsid w:val="00755B39"/>
    <w:rsid w:val="00756505"/>
    <w:rsid w:val="007602DD"/>
    <w:rsid w:val="00760CD7"/>
    <w:rsid w:val="0076688E"/>
    <w:rsid w:val="007720CC"/>
    <w:rsid w:val="0077226B"/>
    <w:rsid w:val="00773DB6"/>
    <w:rsid w:val="0077514A"/>
    <w:rsid w:val="00781279"/>
    <w:rsid w:val="00783AFE"/>
    <w:rsid w:val="007904FF"/>
    <w:rsid w:val="007925EB"/>
    <w:rsid w:val="00796798"/>
    <w:rsid w:val="00797B28"/>
    <w:rsid w:val="007A038A"/>
    <w:rsid w:val="007A1E1B"/>
    <w:rsid w:val="007A23C5"/>
    <w:rsid w:val="007A3D48"/>
    <w:rsid w:val="007A5961"/>
    <w:rsid w:val="007A62AF"/>
    <w:rsid w:val="007A6303"/>
    <w:rsid w:val="007A73B9"/>
    <w:rsid w:val="007B0811"/>
    <w:rsid w:val="007B12CC"/>
    <w:rsid w:val="007B31EB"/>
    <w:rsid w:val="007B425E"/>
    <w:rsid w:val="007C1D53"/>
    <w:rsid w:val="007C22F2"/>
    <w:rsid w:val="007C4FA1"/>
    <w:rsid w:val="007D2F2B"/>
    <w:rsid w:val="007D48A4"/>
    <w:rsid w:val="007D719A"/>
    <w:rsid w:val="007E11AF"/>
    <w:rsid w:val="007E36AC"/>
    <w:rsid w:val="007E4B97"/>
    <w:rsid w:val="007E5353"/>
    <w:rsid w:val="007E55B7"/>
    <w:rsid w:val="007E6392"/>
    <w:rsid w:val="007F42D9"/>
    <w:rsid w:val="007F5799"/>
    <w:rsid w:val="007F5BF8"/>
    <w:rsid w:val="007F7B66"/>
    <w:rsid w:val="00801DE2"/>
    <w:rsid w:val="00802AAD"/>
    <w:rsid w:val="008038C9"/>
    <w:rsid w:val="0080646E"/>
    <w:rsid w:val="00806C2A"/>
    <w:rsid w:val="008077DA"/>
    <w:rsid w:val="008153A1"/>
    <w:rsid w:val="00825BFE"/>
    <w:rsid w:val="00825C8F"/>
    <w:rsid w:val="00826B5E"/>
    <w:rsid w:val="00831380"/>
    <w:rsid w:val="00831843"/>
    <w:rsid w:val="00832D6F"/>
    <w:rsid w:val="008330BB"/>
    <w:rsid w:val="00833CAD"/>
    <w:rsid w:val="008406FC"/>
    <w:rsid w:val="00840AA3"/>
    <w:rsid w:val="008410E6"/>
    <w:rsid w:val="00841318"/>
    <w:rsid w:val="00841E77"/>
    <w:rsid w:val="008421E5"/>
    <w:rsid w:val="00845E45"/>
    <w:rsid w:val="008512E3"/>
    <w:rsid w:val="00851C1E"/>
    <w:rsid w:val="00853166"/>
    <w:rsid w:val="008545A3"/>
    <w:rsid w:val="00856CD9"/>
    <w:rsid w:val="00862F0E"/>
    <w:rsid w:val="00863E6B"/>
    <w:rsid w:val="008655F8"/>
    <w:rsid w:val="00867DAD"/>
    <w:rsid w:val="00867EAE"/>
    <w:rsid w:val="00870A99"/>
    <w:rsid w:val="00871458"/>
    <w:rsid w:val="00872CB6"/>
    <w:rsid w:val="00874F21"/>
    <w:rsid w:val="00882D02"/>
    <w:rsid w:val="00883213"/>
    <w:rsid w:val="00884A1B"/>
    <w:rsid w:val="008923A4"/>
    <w:rsid w:val="008927E0"/>
    <w:rsid w:val="00893556"/>
    <w:rsid w:val="00893B88"/>
    <w:rsid w:val="008953C4"/>
    <w:rsid w:val="008A02F3"/>
    <w:rsid w:val="008A4193"/>
    <w:rsid w:val="008A4440"/>
    <w:rsid w:val="008A58B3"/>
    <w:rsid w:val="008B024E"/>
    <w:rsid w:val="008B14E4"/>
    <w:rsid w:val="008B2C45"/>
    <w:rsid w:val="008B4190"/>
    <w:rsid w:val="008C0361"/>
    <w:rsid w:val="008C2670"/>
    <w:rsid w:val="008C6831"/>
    <w:rsid w:val="008C736D"/>
    <w:rsid w:val="008D30DD"/>
    <w:rsid w:val="008D35B6"/>
    <w:rsid w:val="008D5D5A"/>
    <w:rsid w:val="008D63C9"/>
    <w:rsid w:val="008D77B0"/>
    <w:rsid w:val="008E06A1"/>
    <w:rsid w:val="008E1673"/>
    <w:rsid w:val="008E6D68"/>
    <w:rsid w:val="008F4555"/>
    <w:rsid w:val="00900431"/>
    <w:rsid w:val="00902193"/>
    <w:rsid w:val="0090328C"/>
    <w:rsid w:val="00910123"/>
    <w:rsid w:val="00912961"/>
    <w:rsid w:val="00913386"/>
    <w:rsid w:val="00913F71"/>
    <w:rsid w:val="00914563"/>
    <w:rsid w:val="00916D35"/>
    <w:rsid w:val="00921822"/>
    <w:rsid w:val="00921960"/>
    <w:rsid w:val="0092196F"/>
    <w:rsid w:val="00923F6C"/>
    <w:rsid w:val="00925D28"/>
    <w:rsid w:val="00927B48"/>
    <w:rsid w:val="00931166"/>
    <w:rsid w:val="0093340A"/>
    <w:rsid w:val="00933955"/>
    <w:rsid w:val="00935A11"/>
    <w:rsid w:val="00936518"/>
    <w:rsid w:val="00937032"/>
    <w:rsid w:val="00937C98"/>
    <w:rsid w:val="0094258F"/>
    <w:rsid w:val="0094661D"/>
    <w:rsid w:val="0095122D"/>
    <w:rsid w:val="00952194"/>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81972"/>
    <w:rsid w:val="0098245F"/>
    <w:rsid w:val="009855CA"/>
    <w:rsid w:val="00990F07"/>
    <w:rsid w:val="009932D0"/>
    <w:rsid w:val="00996DA3"/>
    <w:rsid w:val="009B0A61"/>
    <w:rsid w:val="009B109A"/>
    <w:rsid w:val="009B4531"/>
    <w:rsid w:val="009B5F75"/>
    <w:rsid w:val="009B6519"/>
    <w:rsid w:val="009B6C65"/>
    <w:rsid w:val="009B7836"/>
    <w:rsid w:val="009C164A"/>
    <w:rsid w:val="009D0A18"/>
    <w:rsid w:val="009D17E4"/>
    <w:rsid w:val="009D5A93"/>
    <w:rsid w:val="009D5BA5"/>
    <w:rsid w:val="009D64E2"/>
    <w:rsid w:val="009D6BF5"/>
    <w:rsid w:val="009E0276"/>
    <w:rsid w:val="009E25B6"/>
    <w:rsid w:val="009E2A29"/>
    <w:rsid w:val="009E5F33"/>
    <w:rsid w:val="009E6791"/>
    <w:rsid w:val="009E7510"/>
    <w:rsid w:val="009F02C1"/>
    <w:rsid w:val="009F0BD2"/>
    <w:rsid w:val="009F1452"/>
    <w:rsid w:val="009F1BF8"/>
    <w:rsid w:val="009F1C9C"/>
    <w:rsid w:val="009F250C"/>
    <w:rsid w:val="009F275E"/>
    <w:rsid w:val="009F434C"/>
    <w:rsid w:val="009F7D34"/>
    <w:rsid w:val="00A00E7B"/>
    <w:rsid w:val="00A02520"/>
    <w:rsid w:val="00A02BAA"/>
    <w:rsid w:val="00A107BD"/>
    <w:rsid w:val="00A10D56"/>
    <w:rsid w:val="00A1218E"/>
    <w:rsid w:val="00A12C39"/>
    <w:rsid w:val="00A13A13"/>
    <w:rsid w:val="00A15326"/>
    <w:rsid w:val="00A16CEC"/>
    <w:rsid w:val="00A26C91"/>
    <w:rsid w:val="00A26E9C"/>
    <w:rsid w:val="00A318E2"/>
    <w:rsid w:val="00A33F58"/>
    <w:rsid w:val="00A36055"/>
    <w:rsid w:val="00A40BC8"/>
    <w:rsid w:val="00A4369D"/>
    <w:rsid w:val="00A43B19"/>
    <w:rsid w:val="00A4472E"/>
    <w:rsid w:val="00A46D31"/>
    <w:rsid w:val="00A47EA4"/>
    <w:rsid w:val="00A503E5"/>
    <w:rsid w:val="00A509FD"/>
    <w:rsid w:val="00A53F03"/>
    <w:rsid w:val="00A53FF0"/>
    <w:rsid w:val="00A54456"/>
    <w:rsid w:val="00A5471E"/>
    <w:rsid w:val="00A551D7"/>
    <w:rsid w:val="00A55B27"/>
    <w:rsid w:val="00A55BDA"/>
    <w:rsid w:val="00A60C43"/>
    <w:rsid w:val="00A64596"/>
    <w:rsid w:val="00A67BE2"/>
    <w:rsid w:val="00A74820"/>
    <w:rsid w:val="00A76E41"/>
    <w:rsid w:val="00A776BC"/>
    <w:rsid w:val="00A8105F"/>
    <w:rsid w:val="00A81465"/>
    <w:rsid w:val="00A833A7"/>
    <w:rsid w:val="00A86AB0"/>
    <w:rsid w:val="00A87262"/>
    <w:rsid w:val="00A90F79"/>
    <w:rsid w:val="00A93929"/>
    <w:rsid w:val="00A9509B"/>
    <w:rsid w:val="00A963E4"/>
    <w:rsid w:val="00A97C90"/>
    <w:rsid w:val="00AA15A6"/>
    <w:rsid w:val="00AA182F"/>
    <w:rsid w:val="00AA3F58"/>
    <w:rsid w:val="00AA4870"/>
    <w:rsid w:val="00AA6B5D"/>
    <w:rsid w:val="00AB1D83"/>
    <w:rsid w:val="00AB5668"/>
    <w:rsid w:val="00AB587E"/>
    <w:rsid w:val="00AB6697"/>
    <w:rsid w:val="00AC0CA3"/>
    <w:rsid w:val="00AC24D8"/>
    <w:rsid w:val="00AC2F0E"/>
    <w:rsid w:val="00AC6B22"/>
    <w:rsid w:val="00AD13AD"/>
    <w:rsid w:val="00AE08D3"/>
    <w:rsid w:val="00AE225B"/>
    <w:rsid w:val="00AE46A4"/>
    <w:rsid w:val="00AE535D"/>
    <w:rsid w:val="00AE69CE"/>
    <w:rsid w:val="00AF08E9"/>
    <w:rsid w:val="00AF0B26"/>
    <w:rsid w:val="00AF2165"/>
    <w:rsid w:val="00AF6826"/>
    <w:rsid w:val="00B00877"/>
    <w:rsid w:val="00B02697"/>
    <w:rsid w:val="00B0719C"/>
    <w:rsid w:val="00B14CC8"/>
    <w:rsid w:val="00B17240"/>
    <w:rsid w:val="00B234C1"/>
    <w:rsid w:val="00B248CE"/>
    <w:rsid w:val="00B24E37"/>
    <w:rsid w:val="00B25020"/>
    <w:rsid w:val="00B256C8"/>
    <w:rsid w:val="00B256F6"/>
    <w:rsid w:val="00B272EE"/>
    <w:rsid w:val="00B302A1"/>
    <w:rsid w:val="00B31FCC"/>
    <w:rsid w:val="00B3557A"/>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53C1"/>
    <w:rsid w:val="00B82CCF"/>
    <w:rsid w:val="00B83052"/>
    <w:rsid w:val="00B8677C"/>
    <w:rsid w:val="00B90FC3"/>
    <w:rsid w:val="00B92387"/>
    <w:rsid w:val="00B9395A"/>
    <w:rsid w:val="00B93A38"/>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F0DFB"/>
    <w:rsid w:val="00BF14CF"/>
    <w:rsid w:val="00BF48F2"/>
    <w:rsid w:val="00BF648F"/>
    <w:rsid w:val="00C00A12"/>
    <w:rsid w:val="00C01354"/>
    <w:rsid w:val="00C02E08"/>
    <w:rsid w:val="00C04FEC"/>
    <w:rsid w:val="00C05052"/>
    <w:rsid w:val="00C0544C"/>
    <w:rsid w:val="00C064AA"/>
    <w:rsid w:val="00C10643"/>
    <w:rsid w:val="00C15609"/>
    <w:rsid w:val="00C16EAB"/>
    <w:rsid w:val="00C23757"/>
    <w:rsid w:val="00C2432E"/>
    <w:rsid w:val="00C25332"/>
    <w:rsid w:val="00C25933"/>
    <w:rsid w:val="00C27C2B"/>
    <w:rsid w:val="00C32F04"/>
    <w:rsid w:val="00C3318C"/>
    <w:rsid w:val="00C34F6D"/>
    <w:rsid w:val="00C3720A"/>
    <w:rsid w:val="00C41DCA"/>
    <w:rsid w:val="00C45720"/>
    <w:rsid w:val="00C51934"/>
    <w:rsid w:val="00C549B2"/>
    <w:rsid w:val="00C55715"/>
    <w:rsid w:val="00C56FA8"/>
    <w:rsid w:val="00C61C00"/>
    <w:rsid w:val="00C62802"/>
    <w:rsid w:val="00C6346F"/>
    <w:rsid w:val="00C73DB2"/>
    <w:rsid w:val="00C75067"/>
    <w:rsid w:val="00C802CF"/>
    <w:rsid w:val="00C830BD"/>
    <w:rsid w:val="00C84E19"/>
    <w:rsid w:val="00C85194"/>
    <w:rsid w:val="00C95F53"/>
    <w:rsid w:val="00C97F3E"/>
    <w:rsid w:val="00CA00FB"/>
    <w:rsid w:val="00CA0715"/>
    <w:rsid w:val="00CA11BC"/>
    <w:rsid w:val="00CA1CD2"/>
    <w:rsid w:val="00CA39D0"/>
    <w:rsid w:val="00CA48E6"/>
    <w:rsid w:val="00CA4E7E"/>
    <w:rsid w:val="00CA67C6"/>
    <w:rsid w:val="00CB14B8"/>
    <w:rsid w:val="00CB262F"/>
    <w:rsid w:val="00CB39DC"/>
    <w:rsid w:val="00CB4939"/>
    <w:rsid w:val="00CB5977"/>
    <w:rsid w:val="00CB5E07"/>
    <w:rsid w:val="00CB5FDB"/>
    <w:rsid w:val="00CC36CA"/>
    <w:rsid w:val="00CC6EF3"/>
    <w:rsid w:val="00CC7A2E"/>
    <w:rsid w:val="00CC7AEB"/>
    <w:rsid w:val="00CD27CB"/>
    <w:rsid w:val="00CD478B"/>
    <w:rsid w:val="00CD6BE5"/>
    <w:rsid w:val="00CD77F5"/>
    <w:rsid w:val="00CD7CD7"/>
    <w:rsid w:val="00CD7DD7"/>
    <w:rsid w:val="00CE0245"/>
    <w:rsid w:val="00CE47BF"/>
    <w:rsid w:val="00CE76D0"/>
    <w:rsid w:val="00CF43D3"/>
    <w:rsid w:val="00CF4997"/>
    <w:rsid w:val="00CF7256"/>
    <w:rsid w:val="00CF75BB"/>
    <w:rsid w:val="00D03579"/>
    <w:rsid w:val="00D04FCE"/>
    <w:rsid w:val="00D11D9E"/>
    <w:rsid w:val="00D13247"/>
    <w:rsid w:val="00D1341B"/>
    <w:rsid w:val="00D13E31"/>
    <w:rsid w:val="00D16614"/>
    <w:rsid w:val="00D2127E"/>
    <w:rsid w:val="00D228D1"/>
    <w:rsid w:val="00D22DFA"/>
    <w:rsid w:val="00D24B8C"/>
    <w:rsid w:val="00D26AA8"/>
    <w:rsid w:val="00D27019"/>
    <w:rsid w:val="00D315DA"/>
    <w:rsid w:val="00D3317F"/>
    <w:rsid w:val="00D360BE"/>
    <w:rsid w:val="00D40BC5"/>
    <w:rsid w:val="00D40F06"/>
    <w:rsid w:val="00D44057"/>
    <w:rsid w:val="00D44B67"/>
    <w:rsid w:val="00D44E81"/>
    <w:rsid w:val="00D4599E"/>
    <w:rsid w:val="00D47576"/>
    <w:rsid w:val="00D479E8"/>
    <w:rsid w:val="00D542F2"/>
    <w:rsid w:val="00D5493C"/>
    <w:rsid w:val="00D56F9B"/>
    <w:rsid w:val="00D61162"/>
    <w:rsid w:val="00D61BD1"/>
    <w:rsid w:val="00D631BE"/>
    <w:rsid w:val="00D635C4"/>
    <w:rsid w:val="00D65D0C"/>
    <w:rsid w:val="00D66AE2"/>
    <w:rsid w:val="00D66B0F"/>
    <w:rsid w:val="00D671EA"/>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C36"/>
    <w:rsid w:val="00D94AE6"/>
    <w:rsid w:val="00D94BB9"/>
    <w:rsid w:val="00D95048"/>
    <w:rsid w:val="00DA1AE4"/>
    <w:rsid w:val="00DA283C"/>
    <w:rsid w:val="00DA437B"/>
    <w:rsid w:val="00DA78D7"/>
    <w:rsid w:val="00DB0831"/>
    <w:rsid w:val="00DB1859"/>
    <w:rsid w:val="00DB1D37"/>
    <w:rsid w:val="00DB3A56"/>
    <w:rsid w:val="00DB6FE7"/>
    <w:rsid w:val="00DC1D00"/>
    <w:rsid w:val="00DC2A9F"/>
    <w:rsid w:val="00DC552D"/>
    <w:rsid w:val="00DC7B47"/>
    <w:rsid w:val="00DD1A5C"/>
    <w:rsid w:val="00DD1F41"/>
    <w:rsid w:val="00DD34E5"/>
    <w:rsid w:val="00DD3639"/>
    <w:rsid w:val="00DD4360"/>
    <w:rsid w:val="00DD6DD7"/>
    <w:rsid w:val="00DD6FD2"/>
    <w:rsid w:val="00DE1373"/>
    <w:rsid w:val="00DE21B5"/>
    <w:rsid w:val="00DE2EF0"/>
    <w:rsid w:val="00DE5A74"/>
    <w:rsid w:val="00DF0EBB"/>
    <w:rsid w:val="00DF22C3"/>
    <w:rsid w:val="00DF298C"/>
    <w:rsid w:val="00DF40A0"/>
    <w:rsid w:val="00DF4135"/>
    <w:rsid w:val="00DF5A45"/>
    <w:rsid w:val="00DF6369"/>
    <w:rsid w:val="00DF693A"/>
    <w:rsid w:val="00E0259E"/>
    <w:rsid w:val="00E0287C"/>
    <w:rsid w:val="00E0318A"/>
    <w:rsid w:val="00E04CC3"/>
    <w:rsid w:val="00E1000C"/>
    <w:rsid w:val="00E10BFF"/>
    <w:rsid w:val="00E1186D"/>
    <w:rsid w:val="00E1484A"/>
    <w:rsid w:val="00E152C9"/>
    <w:rsid w:val="00E2020D"/>
    <w:rsid w:val="00E21A06"/>
    <w:rsid w:val="00E2576F"/>
    <w:rsid w:val="00E30197"/>
    <w:rsid w:val="00E30704"/>
    <w:rsid w:val="00E30B21"/>
    <w:rsid w:val="00E344E1"/>
    <w:rsid w:val="00E34784"/>
    <w:rsid w:val="00E42B97"/>
    <w:rsid w:val="00E46AF8"/>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BD7"/>
    <w:rsid w:val="00E85F4F"/>
    <w:rsid w:val="00E87612"/>
    <w:rsid w:val="00E905AE"/>
    <w:rsid w:val="00E92ACD"/>
    <w:rsid w:val="00E974A2"/>
    <w:rsid w:val="00EA0415"/>
    <w:rsid w:val="00EA5AB5"/>
    <w:rsid w:val="00EA5D6A"/>
    <w:rsid w:val="00EA6950"/>
    <w:rsid w:val="00EB57E9"/>
    <w:rsid w:val="00EC05E9"/>
    <w:rsid w:val="00EC2A61"/>
    <w:rsid w:val="00EC2D7F"/>
    <w:rsid w:val="00EC614F"/>
    <w:rsid w:val="00EC6556"/>
    <w:rsid w:val="00ED1FD7"/>
    <w:rsid w:val="00ED3275"/>
    <w:rsid w:val="00ED3A25"/>
    <w:rsid w:val="00ED5234"/>
    <w:rsid w:val="00ED5C41"/>
    <w:rsid w:val="00EE1152"/>
    <w:rsid w:val="00EE2474"/>
    <w:rsid w:val="00EF28C5"/>
    <w:rsid w:val="00EF324E"/>
    <w:rsid w:val="00EF349C"/>
    <w:rsid w:val="00EF39B2"/>
    <w:rsid w:val="00EF39ED"/>
    <w:rsid w:val="00F021CF"/>
    <w:rsid w:val="00F05B0F"/>
    <w:rsid w:val="00F12BB0"/>
    <w:rsid w:val="00F13DE3"/>
    <w:rsid w:val="00F13E79"/>
    <w:rsid w:val="00F16AF2"/>
    <w:rsid w:val="00F17BAE"/>
    <w:rsid w:val="00F2001D"/>
    <w:rsid w:val="00F20029"/>
    <w:rsid w:val="00F2201F"/>
    <w:rsid w:val="00F23852"/>
    <w:rsid w:val="00F24D86"/>
    <w:rsid w:val="00F318B8"/>
    <w:rsid w:val="00F323B7"/>
    <w:rsid w:val="00F33B15"/>
    <w:rsid w:val="00F341B8"/>
    <w:rsid w:val="00F417A3"/>
    <w:rsid w:val="00F42B7E"/>
    <w:rsid w:val="00F42C82"/>
    <w:rsid w:val="00F42EDB"/>
    <w:rsid w:val="00F44275"/>
    <w:rsid w:val="00F46C0C"/>
    <w:rsid w:val="00F5064E"/>
    <w:rsid w:val="00F55B72"/>
    <w:rsid w:val="00F6056C"/>
    <w:rsid w:val="00F60CB5"/>
    <w:rsid w:val="00F61581"/>
    <w:rsid w:val="00F62E7F"/>
    <w:rsid w:val="00F63BB9"/>
    <w:rsid w:val="00F658B9"/>
    <w:rsid w:val="00F67DBB"/>
    <w:rsid w:val="00F700AA"/>
    <w:rsid w:val="00F718B0"/>
    <w:rsid w:val="00F73A71"/>
    <w:rsid w:val="00F77D48"/>
    <w:rsid w:val="00F8293E"/>
    <w:rsid w:val="00F82BD4"/>
    <w:rsid w:val="00F84C94"/>
    <w:rsid w:val="00F90BB6"/>
    <w:rsid w:val="00F915D1"/>
    <w:rsid w:val="00F91939"/>
    <w:rsid w:val="00F93E86"/>
    <w:rsid w:val="00F9576D"/>
    <w:rsid w:val="00F95F0C"/>
    <w:rsid w:val="00F9732F"/>
    <w:rsid w:val="00FA0E7F"/>
    <w:rsid w:val="00FA3548"/>
    <w:rsid w:val="00FA4B38"/>
    <w:rsid w:val="00FA50EB"/>
    <w:rsid w:val="00FA6DC0"/>
    <w:rsid w:val="00FA7EB1"/>
    <w:rsid w:val="00FB1CEC"/>
    <w:rsid w:val="00FB419B"/>
    <w:rsid w:val="00FB46DC"/>
    <w:rsid w:val="00FB6F9F"/>
    <w:rsid w:val="00FB7A48"/>
    <w:rsid w:val="00FC12FE"/>
    <w:rsid w:val="00FC1489"/>
    <w:rsid w:val="00FC3441"/>
    <w:rsid w:val="00FD1ED3"/>
    <w:rsid w:val="00FD6C28"/>
    <w:rsid w:val="00FE1287"/>
    <w:rsid w:val="00FE310B"/>
    <w:rsid w:val="00FE39B9"/>
    <w:rsid w:val="00FE6AD7"/>
    <w:rsid w:val="00FF1BA9"/>
    <w:rsid w:val="00FF5290"/>
    <w:rsid w:val="00FF60DC"/>
    <w:rsid w:val="019C3A88"/>
    <w:rsid w:val="02287D7E"/>
    <w:rsid w:val="030E6553"/>
    <w:rsid w:val="03960557"/>
    <w:rsid w:val="03C84930"/>
    <w:rsid w:val="03DF7E09"/>
    <w:rsid w:val="03E67E90"/>
    <w:rsid w:val="043613A4"/>
    <w:rsid w:val="04615143"/>
    <w:rsid w:val="04754202"/>
    <w:rsid w:val="048320BB"/>
    <w:rsid w:val="04B563C2"/>
    <w:rsid w:val="05531A54"/>
    <w:rsid w:val="05E53AA2"/>
    <w:rsid w:val="05F92C68"/>
    <w:rsid w:val="0620235A"/>
    <w:rsid w:val="06571B7A"/>
    <w:rsid w:val="06B10ACD"/>
    <w:rsid w:val="06C25923"/>
    <w:rsid w:val="071D11C9"/>
    <w:rsid w:val="077111CE"/>
    <w:rsid w:val="0772575A"/>
    <w:rsid w:val="07DA3A8F"/>
    <w:rsid w:val="08316975"/>
    <w:rsid w:val="089D7C92"/>
    <w:rsid w:val="09C92DD3"/>
    <w:rsid w:val="09CF6E4B"/>
    <w:rsid w:val="0AB4609E"/>
    <w:rsid w:val="0ADE415D"/>
    <w:rsid w:val="0BD554C2"/>
    <w:rsid w:val="0C63073D"/>
    <w:rsid w:val="0C7318E1"/>
    <w:rsid w:val="0CCF6888"/>
    <w:rsid w:val="0D0C188A"/>
    <w:rsid w:val="0DD71E98"/>
    <w:rsid w:val="0E43752E"/>
    <w:rsid w:val="0ED732EE"/>
    <w:rsid w:val="0F121EF0"/>
    <w:rsid w:val="101038B6"/>
    <w:rsid w:val="10196798"/>
    <w:rsid w:val="11304CEB"/>
    <w:rsid w:val="118916FB"/>
    <w:rsid w:val="11AF4DCB"/>
    <w:rsid w:val="11CB238C"/>
    <w:rsid w:val="11DF1890"/>
    <w:rsid w:val="126A6425"/>
    <w:rsid w:val="127E6D86"/>
    <w:rsid w:val="12955111"/>
    <w:rsid w:val="12B427A8"/>
    <w:rsid w:val="12CC6E6D"/>
    <w:rsid w:val="13806E42"/>
    <w:rsid w:val="140E7482"/>
    <w:rsid w:val="1440520B"/>
    <w:rsid w:val="14654E7D"/>
    <w:rsid w:val="14737EE6"/>
    <w:rsid w:val="149063EC"/>
    <w:rsid w:val="151A0368"/>
    <w:rsid w:val="171071EA"/>
    <w:rsid w:val="174F62D6"/>
    <w:rsid w:val="17EE77F0"/>
    <w:rsid w:val="180F7034"/>
    <w:rsid w:val="183A0A1F"/>
    <w:rsid w:val="187A1D9E"/>
    <w:rsid w:val="18D56A9E"/>
    <w:rsid w:val="19006747"/>
    <w:rsid w:val="190525BE"/>
    <w:rsid w:val="198C1D89"/>
    <w:rsid w:val="19C23937"/>
    <w:rsid w:val="1A342318"/>
    <w:rsid w:val="1A9E3268"/>
    <w:rsid w:val="1B74013C"/>
    <w:rsid w:val="1BCA1848"/>
    <w:rsid w:val="1C762227"/>
    <w:rsid w:val="1CDC3027"/>
    <w:rsid w:val="1CFA34AD"/>
    <w:rsid w:val="1D9F120E"/>
    <w:rsid w:val="1E0D2BED"/>
    <w:rsid w:val="1E272980"/>
    <w:rsid w:val="1E591AD6"/>
    <w:rsid w:val="1E7B37A5"/>
    <w:rsid w:val="1EA44D1C"/>
    <w:rsid w:val="1EB0258C"/>
    <w:rsid w:val="1ECD2D49"/>
    <w:rsid w:val="1F14499E"/>
    <w:rsid w:val="1F5B26C7"/>
    <w:rsid w:val="1F5C044F"/>
    <w:rsid w:val="1FF450C0"/>
    <w:rsid w:val="203A4DF7"/>
    <w:rsid w:val="20793160"/>
    <w:rsid w:val="21430A11"/>
    <w:rsid w:val="215A4BDB"/>
    <w:rsid w:val="21962D82"/>
    <w:rsid w:val="219D221A"/>
    <w:rsid w:val="21AB33D9"/>
    <w:rsid w:val="223A41F0"/>
    <w:rsid w:val="224109E7"/>
    <w:rsid w:val="224F2695"/>
    <w:rsid w:val="22BD0642"/>
    <w:rsid w:val="22CA56D0"/>
    <w:rsid w:val="22EB689E"/>
    <w:rsid w:val="235E2371"/>
    <w:rsid w:val="248F38ED"/>
    <w:rsid w:val="249C2E00"/>
    <w:rsid w:val="24B147FA"/>
    <w:rsid w:val="251F5A1E"/>
    <w:rsid w:val="274160AD"/>
    <w:rsid w:val="27F62AEE"/>
    <w:rsid w:val="283223CC"/>
    <w:rsid w:val="2866365B"/>
    <w:rsid w:val="28E50C7F"/>
    <w:rsid w:val="28EB2659"/>
    <w:rsid w:val="28EC345C"/>
    <w:rsid w:val="29202FD3"/>
    <w:rsid w:val="2A44220C"/>
    <w:rsid w:val="2AB14810"/>
    <w:rsid w:val="2AD3072D"/>
    <w:rsid w:val="2B6C7C6C"/>
    <w:rsid w:val="2BDD6474"/>
    <w:rsid w:val="2BE97983"/>
    <w:rsid w:val="2C0B54C5"/>
    <w:rsid w:val="2C292017"/>
    <w:rsid w:val="2CAC4BA2"/>
    <w:rsid w:val="2CB35C78"/>
    <w:rsid w:val="2CF23FA9"/>
    <w:rsid w:val="2CF40890"/>
    <w:rsid w:val="2D1719A4"/>
    <w:rsid w:val="2DDE509E"/>
    <w:rsid w:val="2F204A26"/>
    <w:rsid w:val="2F3045A4"/>
    <w:rsid w:val="2F567AA0"/>
    <w:rsid w:val="301645BB"/>
    <w:rsid w:val="30302844"/>
    <w:rsid w:val="30654C8A"/>
    <w:rsid w:val="309F5392"/>
    <w:rsid w:val="30B4367E"/>
    <w:rsid w:val="3161171F"/>
    <w:rsid w:val="319A28B2"/>
    <w:rsid w:val="3276083D"/>
    <w:rsid w:val="329A3661"/>
    <w:rsid w:val="32D16C5C"/>
    <w:rsid w:val="33587C2B"/>
    <w:rsid w:val="339B19D0"/>
    <w:rsid w:val="33EE2317"/>
    <w:rsid w:val="3508551A"/>
    <w:rsid w:val="359C0F7A"/>
    <w:rsid w:val="35E113E3"/>
    <w:rsid w:val="370B120F"/>
    <w:rsid w:val="37776170"/>
    <w:rsid w:val="37781747"/>
    <w:rsid w:val="37847CCD"/>
    <w:rsid w:val="378B37C3"/>
    <w:rsid w:val="37CD2E49"/>
    <w:rsid w:val="381C1DAF"/>
    <w:rsid w:val="382B35B4"/>
    <w:rsid w:val="3941563D"/>
    <w:rsid w:val="3AE332B3"/>
    <w:rsid w:val="3B071D45"/>
    <w:rsid w:val="3BB54959"/>
    <w:rsid w:val="3C8C247C"/>
    <w:rsid w:val="3D514278"/>
    <w:rsid w:val="3D65545B"/>
    <w:rsid w:val="3DFB2CDF"/>
    <w:rsid w:val="3E7C6D69"/>
    <w:rsid w:val="3EB83A8B"/>
    <w:rsid w:val="3EE51A3E"/>
    <w:rsid w:val="3F4D512E"/>
    <w:rsid w:val="3FA119B7"/>
    <w:rsid w:val="40177DE3"/>
    <w:rsid w:val="407A192C"/>
    <w:rsid w:val="417A1877"/>
    <w:rsid w:val="4186089B"/>
    <w:rsid w:val="42654E02"/>
    <w:rsid w:val="427C0258"/>
    <w:rsid w:val="42EF614C"/>
    <w:rsid w:val="432253DD"/>
    <w:rsid w:val="43863DDA"/>
    <w:rsid w:val="43D011EA"/>
    <w:rsid w:val="441477C8"/>
    <w:rsid w:val="444939F2"/>
    <w:rsid w:val="44557E80"/>
    <w:rsid w:val="4473408E"/>
    <w:rsid w:val="454D7CF7"/>
    <w:rsid w:val="45551365"/>
    <w:rsid w:val="45CD7101"/>
    <w:rsid w:val="46484442"/>
    <w:rsid w:val="46EE607C"/>
    <w:rsid w:val="476F66C2"/>
    <w:rsid w:val="47B01446"/>
    <w:rsid w:val="47CC27EE"/>
    <w:rsid w:val="480C3F11"/>
    <w:rsid w:val="482809DA"/>
    <w:rsid w:val="491E1806"/>
    <w:rsid w:val="496B47B7"/>
    <w:rsid w:val="4A0B7731"/>
    <w:rsid w:val="4A9A751F"/>
    <w:rsid w:val="4AB8212E"/>
    <w:rsid w:val="4AC05A5A"/>
    <w:rsid w:val="4AE10089"/>
    <w:rsid w:val="4B022328"/>
    <w:rsid w:val="4B384AFB"/>
    <w:rsid w:val="4B3A3DE4"/>
    <w:rsid w:val="4B6217B9"/>
    <w:rsid w:val="4B701FD3"/>
    <w:rsid w:val="4B77032C"/>
    <w:rsid w:val="4BCA4DC2"/>
    <w:rsid w:val="4BD125AC"/>
    <w:rsid w:val="4BD340D8"/>
    <w:rsid w:val="4C360546"/>
    <w:rsid w:val="4CFF75D5"/>
    <w:rsid w:val="4DAE5F5E"/>
    <w:rsid w:val="4E6B5729"/>
    <w:rsid w:val="4EA404FD"/>
    <w:rsid w:val="4FA56487"/>
    <w:rsid w:val="4FC44EDC"/>
    <w:rsid w:val="4FF051A0"/>
    <w:rsid w:val="50141FA4"/>
    <w:rsid w:val="507506FE"/>
    <w:rsid w:val="50D954C3"/>
    <w:rsid w:val="50FE2791"/>
    <w:rsid w:val="51752B27"/>
    <w:rsid w:val="52C12FB4"/>
    <w:rsid w:val="53307DE8"/>
    <w:rsid w:val="535B5D4C"/>
    <w:rsid w:val="53866EE0"/>
    <w:rsid w:val="538F587F"/>
    <w:rsid w:val="544E2FF3"/>
    <w:rsid w:val="54791DE5"/>
    <w:rsid w:val="55D63612"/>
    <w:rsid w:val="56C113D0"/>
    <w:rsid w:val="56CB143B"/>
    <w:rsid w:val="57E05BE1"/>
    <w:rsid w:val="58346A24"/>
    <w:rsid w:val="58F72073"/>
    <w:rsid w:val="59464DA9"/>
    <w:rsid w:val="59654F1B"/>
    <w:rsid w:val="59F82547"/>
    <w:rsid w:val="5A8E6B50"/>
    <w:rsid w:val="5B526E3B"/>
    <w:rsid w:val="5D176670"/>
    <w:rsid w:val="5DB42246"/>
    <w:rsid w:val="5DBC1ADE"/>
    <w:rsid w:val="5E0D2C7D"/>
    <w:rsid w:val="5E2C755E"/>
    <w:rsid w:val="5E4A6AF2"/>
    <w:rsid w:val="5EFB5FCF"/>
    <w:rsid w:val="5F185E67"/>
    <w:rsid w:val="5F912EFC"/>
    <w:rsid w:val="5FA752A4"/>
    <w:rsid w:val="60032F94"/>
    <w:rsid w:val="60532394"/>
    <w:rsid w:val="605C4EB2"/>
    <w:rsid w:val="609346F9"/>
    <w:rsid w:val="60976762"/>
    <w:rsid w:val="60E87DCD"/>
    <w:rsid w:val="615674ED"/>
    <w:rsid w:val="62202150"/>
    <w:rsid w:val="62255EA3"/>
    <w:rsid w:val="635001EF"/>
    <w:rsid w:val="637048DB"/>
    <w:rsid w:val="63D0272B"/>
    <w:rsid w:val="64834717"/>
    <w:rsid w:val="64AA146F"/>
    <w:rsid w:val="64F629E2"/>
    <w:rsid w:val="650B1EAB"/>
    <w:rsid w:val="65335497"/>
    <w:rsid w:val="65431800"/>
    <w:rsid w:val="659956F1"/>
    <w:rsid w:val="65D76172"/>
    <w:rsid w:val="66C77325"/>
    <w:rsid w:val="66CE3288"/>
    <w:rsid w:val="678673E4"/>
    <w:rsid w:val="68931D4F"/>
    <w:rsid w:val="68996CA3"/>
    <w:rsid w:val="68C6406F"/>
    <w:rsid w:val="69686E47"/>
    <w:rsid w:val="6A1638AD"/>
    <w:rsid w:val="6A3944D6"/>
    <w:rsid w:val="6A411797"/>
    <w:rsid w:val="6B4551DF"/>
    <w:rsid w:val="6B9E2823"/>
    <w:rsid w:val="6BC935EB"/>
    <w:rsid w:val="6C1D59BA"/>
    <w:rsid w:val="6C992C34"/>
    <w:rsid w:val="6CA95923"/>
    <w:rsid w:val="6CDF45CD"/>
    <w:rsid w:val="6D7418A4"/>
    <w:rsid w:val="6D756958"/>
    <w:rsid w:val="6DD34965"/>
    <w:rsid w:val="6E3B0A20"/>
    <w:rsid w:val="70227EC6"/>
    <w:rsid w:val="71035C45"/>
    <w:rsid w:val="718323E3"/>
    <w:rsid w:val="718B3849"/>
    <w:rsid w:val="719A58E8"/>
    <w:rsid w:val="72A975D4"/>
    <w:rsid w:val="72E90ED3"/>
    <w:rsid w:val="73663647"/>
    <w:rsid w:val="7377015A"/>
    <w:rsid w:val="73966C01"/>
    <w:rsid w:val="739D2BFF"/>
    <w:rsid w:val="73B77D0C"/>
    <w:rsid w:val="73C37269"/>
    <w:rsid w:val="74027DBB"/>
    <w:rsid w:val="752419D7"/>
    <w:rsid w:val="7526130E"/>
    <w:rsid w:val="75A62E64"/>
    <w:rsid w:val="75B4228D"/>
    <w:rsid w:val="75BB53FD"/>
    <w:rsid w:val="75E96582"/>
    <w:rsid w:val="76470CAA"/>
    <w:rsid w:val="764D1082"/>
    <w:rsid w:val="766F2799"/>
    <w:rsid w:val="76FC63AD"/>
    <w:rsid w:val="772C5186"/>
    <w:rsid w:val="773B6256"/>
    <w:rsid w:val="774C0D1D"/>
    <w:rsid w:val="776D5ECB"/>
    <w:rsid w:val="780B7492"/>
    <w:rsid w:val="792C0FD8"/>
    <w:rsid w:val="796C21B2"/>
    <w:rsid w:val="7A3C0663"/>
    <w:rsid w:val="7AC758F2"/>
    <w:rsid w:val="7D07233B"/>
    <w:rsid w:val="7D1B6488"/>
    <w:rsid w:val="7D40391F"/>
    <w:rsid w:val="7D8FAFBA"/>
    <w:rsid w:val="7DF96BCA"/>
    <w:rsid w:val="7E1251F4"/>
    <w:rsid w:val="7E1C2E5A"/>
    <w:rsid w:val="7E6416AA"/>
    <w:rsid w:val="7EE66F59"/>
    <w:rsid w:val="7F1A6E76"/>
    <w:rsid w:val="7F1F783D"/>
    <w:rsid w:val="7FAF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1" w:semiHidden="0" w:name="heading 3"/>
    <w:lsdException w:qFormat="1" w:uiPriority="1" w:semiHidden="0" w:name="heading 4"/>
    <w:lsdException w:qFormat="1" w:uiPriority="1"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4">
    <w:name w:val="heading 1"/>
    <w:basedOn w:val="1"/>
    <w:next w:val="1"/>
    <w:qFormat/>
    <w:uiPriority w:val="1"/>
    <w:pPr>
      <w:keepNext/>
      <w:keepLines/>
      <w:spacing w:before="340" w:after="330" w:line="576" w:lineRule="auto"/>
      <w:outlineLvl w:val="0"/>
    </w:pPr>
    <w:rPr>
      <w:b/>
      <w:kern w:val="44"/>
      <w:sz w:val="44"/>
    </w:rPr>
  </w:style>
  <w:style w:type="paragraph" w:styleId="5">
    <w:name w:val="heading 2"/>
    <w:basedOn w:val="1"/>
    <w:next w:val="1"/>
    <w:link w:val="30"/>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paragraph" w:styleId="6">
    <w:name w:val="heading 3"/>
    <w:basedOn w:val="1"/>
    <w:next w:val="1"/>
    <w:unhideWhenUsed/>
    <w:qFormat/>
    <w:uiPriority w:val="1"/>
    <w:pPr>
      <w:keepNext/>
      <w:keepLines/>
      <w:spacing w:before="260" w:after="260" w:line="413" w:lineRule="auto"/>
      <w:outlineLvl w:val="2"/>
    </w:pPr>
    <w:rPr>
      <w:b/>
      <w:sz w:val="32"/>
    </w:rPr>
  </w:style>
  <w:style w:type="paragraph" w:styleId="7">
    <w:name w:val="heading 4"/>
    <w:basedOn w:val="1"/>
    <w:next w:val="1"/>
    <w:link w:val="35"/>
    <w:unhideWhenUsed/>
    <w:qFormat/>
    <w:uiPriority w:val="1"/>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33"/>
    <w:unhideWhenUsed/>
    <w:qFormat/>
    <w:uiPriority w:val="1"/>
    <w:pPr>
      <w:keepNext/>
      <w:keepLines/>
      <w:spacing w:before="280" w:after="290" w:line="376" w:lineRule="auto"/>
      <w:outlineLvl w:val="4"/>
    </w:pPr>
    <w:rPr>
      <w:b/>
      <w:bCs/>
      <w:sz w:val="28"/>
      <w:szCs w:val="28"/>
    </w:rPr>
  </w:style>
  <w:style w:type="character" w:default="1" w:styleId="21">
    <w:name w:val="Default Paragraph Font"/>
    <w:unhideWhenUsed/>
    <w:qFormat/>
    <w:uiPriority w:val="1"/>
  </w:style>
  <w:style w:type="table" w:default="1" w:styleId="19">
    <w:name w:val="Normal Table"/>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9">
    <w:name w:val="Normal Indent"/>
    <w:basedOn w:val="1"/>
    <w:next w:val="10"/>
    <w:qFormat/>
    <w:uiPriority w:val="0"/>
    <w:pPr>
      <w:spacing w:line="360" w:lineRule="auto"/>
      <w:ind w:firstLine="420" w:firstLineChars="200"/>
      <w:jc w:val="left"/>
    </w:pPr>
    <w:rPr>
      <w:rFonts w:ascii="仿宋_GB2312" w:hAnsi="Arial" w:eastAsia="仿宋_GB2312"/>
      <w:kern w:val="0"/>
      <w:sz w:val="30"/>
      <w:szCs w:val="30"/>
    </w:rPr>
  </w:style>
  <w:style w:type="paragraph" w:styleId="10">
    <w:name w:val="Body Text"/>
    <w:basedOn w:val="1"/>
    <w:link w:val="34"/>
    <w:unhideWhenUsed/>
    <w:qFormat/>
    <w:uiPriority w:val="1"/>
    <w:pPr>
      <w:spacing w:after="120"/>
    </w:pPr>
  </w:style>
  <w:style w:type="paragraph" w:styleId="11">
    <w:name w:val="annotation text"/>
    <w:basedOn w:val="1"/>
    <w:link w:val="26"/>
    <w:unhideWhenUsed/>
    <w:qFormat/>
    <w:uiPriority w:val="99"/>
    <w:pPr>
      <w:jc w:val="left"/>
    </w:pPr>
  </w:style>
  <w:style w:type="paragraph" w:styleId="12">
    <w:name w:val="Balloon Text"/>
    <w:basedOn w:val="1"/>
    <w:link w:val="36"/>
    <w:unhideWhenUsed/>
    <w:qFormat/>
    <w:uiPriority w:val="99"/>
    <w:rPr>
      <w:sz w:val="18"/>
      <w:szCs w:val="18"/>
    </w:rPr>
  </w:style>
  <w:style w:type="paragraph" w:styleId="13">
    <w:name w:val="footer"/>
    <w:basedOn w:val="1"/>
    <w:link w:val="2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4">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toc 1"/>
    <w:basedOn w:val="1"/>
    <w:next w:val="1"/>
    <w:unhideWhenUsed/>
    <w:qFormat/>
    <w:uiPriority w:val="39"/>
    <w:pPr>
      <w:tabs>
        <w:tab w:val="right" w:leader="dot" w:pos="8714"/>
      </w:tabs>
      <w:spacing w:before="60" w:line="360" w:lineRule="auto"/>
      <w:ind w:left="200" w:leftChars="200"/>
      <w:jc w:val="left"/>
    </w:pPr>
    <w:rPr>
      <w:rFonts w:eastAsia="Helvetica" w:cs="Courier"/>
      <w:bCs/>
      <w:caps/>
      <w:sz w:val="30"/>
      <w:szCs w:val="20"/>
    </w:rPr>
  </w:style>
  <w:style w:type="paragraph" w:styleId="16">
    <w:name w:val="Subtitle"/>
    <w:basedOn w:val="1"/>
    <w:next w:val="1"/>
    <w:link w:val="29"/>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7">
    <w:name w:val="toc 2"/>
    <w:basedOn w:val="1"/>
    <w:next w:val="1"/>
    <w:unhideWhenUsed/>
    <w:qFormat/>
    <w:uiPriority w:val="39"/>
    <w:pPr>
      <w:tabs>
        <w:tab w:val="right" w:leader="dot" w:pos="8714"/>
      </w:tabs>
      <w:spacing w:line="360" w:lineRule="auto"/>
      <w:ind w:left="350" w:leftChars="350"/>
      <w:jc w:val="left"/>
    </w:pPr>
    <w:rPr>
      <w:rFonts w:eastAsia="Tms Rmn" w:cs="Courier"/>
      <w:smallCaps/>
      <w:sz w:val="30"/>
      <w:szCs w:val="20"/>
    </w:rPr>
  </w:style>
  <w:style w:type="paragraph" w:styleId="18">
    <w:name w:val="annotation subject"/>
    <w:basedOn w:val="11"/>
    <w:next w:val="11"/>
    <w:link w:val="27"/>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unhideWhenUsed/>
    <w:qFormat/>
    <w:uiPriority w:val="99"/>
    <w:rPr>
      <w:color w:val="0563C1" w:themeColor="hyperlink"/>
      <w:u w:val="single"/>
      <w14:textFill>
        <w14:solidFill>
          <w14:schemeClr w14:val="hlink"/>
        </w14:solidFill>
      </w14:textFill>
    </w:rPr>
  </w:style>
  <w:style w:type="character" w:styleId="23">
    <w:name w:val="annotation reference"/>
    <w:basedOn w:val="21"/>
    <w:unhideWhenUsed/>
    <w:qFormat/>
    <w:uiPriority w:val="99"/>
    <w:rPr>
      <w:sz w:val="21"/>
      <w:szCs w:val="21"/>
    </w:rPr>
  </w:style>
  <w:style w:type="character" w:customStyle="1" w:styleId="24">
    <w:name w:val="页眉 Char"/>
    <w:basedOn w:val="21"/>
    <w:link w:val="14"/>
    <w:qFormat/>
    <w:uiPriority w:val="99"/>
    <w:rPr>
      <w:sz w:val="18"/>
      <w:szCs w:val="18"/>
    </w:rPr>
  </w:style>
  <w:style w:type="character" w:customStyle="1" w:styleId="25">
    <w:name w:val="页脚 Char"/>
    <w:basedOn w:val="21"/>
    <w:link w:val="13"/>
    <w:qFormat/>
    <w:uiPriority w:val="99"/>
    <w:rPr>
      <w:sz w:val="18"/>
      <w:szCs w:val="18"/>
    </w:rPr>
  </w:style>
  <w:style w:type="character" w:customStyle="1" w:styleId="26">
    <w:name w:val="批注文字 Char"/>
    <w:basedOn w:val="21"/>
    <w:link w:val="11"/>
    <w:qFormat/>
    <w:uiPriority w:val="99"/>
    <w:rPr>
      <w:rFonts w:ascii="Times New Roman" w:hAnsi="Times New Roman" w:eastAsia="Courier New" w:cs="Times New Roman"/>
      <w:szCs w:val="21"/>
    </w:rPr>
  </w:style>
  <w:style w:type="character" w:customStyle="1" w:styleId="27">
    <w:name w:val="批注主题 Char"/>
    <w:basedOn w:val="26"/>
    <w:link w:val="18"/>
    <w:semiHidden/>
    <w:qFormat/>
    <w:uiPriority w:val="99"/>
    <w:rPr>
      <w:rFonts w:ascii="Times New Roman" w:hAnsi="Times New Roman" w:eastAsia="Courier New" w:cs="Times New Roman"/>
      <w:b/>
      <w:bCs/>
      <w:szCs w:val="21"/>
    </w:rPr>
  </w:style>
  <w:style w:type="paragraph" w:customStyle="1" w:styleId="28">
    <w:name w:val="独立格式"/>
    <w:basedOn w:val="16"/>
    <w:qFormat/>
    <w:uiPriority w:val="1"/>
    <w:pPr>
      <w:spacing w:before="0" w:after="0" w:line="360" w:lineRule="auto"/>
      <w:outlineLvl w:val="9"/>
    </w:pPr>
    <w:rPr>
      <w:rFonts w:ascii="Times New Roman" w:hAnsi="Times New Roman" w:eastAsia="Tms Rmn" w:cs="Times New Roman"/>
      <w:b w:val="0"/>
      <w:bCs w:val="0"/>
      <w:kern w:val="2"/>
      <w:szCs w:val="52"/>
    </w:rPr>
  </w:style>
  <w:style w:type="character" w:customStyle="1" w:styleId="29">
    <w:name w:val="副标题 Char"/>
    <w:basedOn w:val="21"/>
    <w:link w:val="16"/>
    <w:qFormat/>
    <w:uiPriority w:val="11"/>
    <w:rPr>
      <w:b/>
      <w:bCs/>
      <w:kern w:val="28"/>
      <w:sz w:val="32"/>
      <w:szCs w:val="32"/>
    </w:rPr>
  </w:style>
  <w:style w:type="character" w:customStyle="1" w:styleId="30">
    <w:name w:val="标题 2 Char"/>
    <w:basedOn w:val="21"/>
    <w:link w:val="5"/>
    <w:qFormat/>
    <w:uiPriority w:val="9"/>
    <w:rPr>
      <w:rFonts w:ascii="Arial" w:hAnsi="Arial" w:eastAsia="Symbol" w:cs="Times New Roman"/>
      <w:b/>
      <w:bCs/>
      <w:sz w:val="32"/>
      <w:szCs w:val="32"/>
    </w:rPr>
  </w:style>
  <w:style w:type="paragraph" w:customStyle="1" w:styleId="31">
    <w:name w:val="表格名称"/>
    <w:basedOn w:val="1"/>
    <w:qFormat/>
    <w:uiPriority w:val="0"/>
    <w:pPr>
      <w:spacing w:line="360" w:lineRule="auto"/>
      <w:jc w:val="center"/>
    </w:pPr>
    <w:rPr>
      <w:rFonts w:eastAsia="Helv" w:cs="New York"/>
      <w:b/>
      <w:sz w:val="24"/>
      <w:szCs w:val="24"/>
    </w:rPr>
  </w:style>
  <w:style w:type="paragraph" w:customStyle="1" w:styleId="32">
    <w:name w:val="表格文字"/>
    <w:basedOn w:val="28"/>
    <w:next w:val="1"/>
    <w:qFormat/>
    <w:uiPriority w:val="0"/>
    <w:pPr>
      <w:spacing w:line="360" w:lineRule="exact"/>
    </w:pPr>
    <w:rPr>
      <w:rFonts w:eastAsia="Helv" w:cs="New York"/>
      <w:sz w:val="24"/>
    </w:rPr>
  </w:style>
  <w:style w:type="character" w:customStyle="1" w:styleId="33">
    <w:name w:val="标题 5 Char"/>
    <w:basedOn w:val="21"/>
    <w:link w:val="8"/>
    <w:semiHidden/>
    <w:qFormat/>
    <w:uiPriority w:val="9"/>
    <w:rPr>
      <w:rFonts w:ascii="Times New Roman" w:hAnsi="Times New Roman" w:eastAsia="Courier New" w:cs="Times New Roman"/>
      <w:b/>
      <w:bCs/>
      <w:sz w:val="28"/>
      <w:szCs w:val="28"/>
    </w:rPr>
  </w:style>
  <w:style w:type="character" w:customStyle="1" w:styleId="34">
    <w:name w:val="正文文本 Char"/>
    <w:basedOn w:val="21"/>
    <w:link w:val="10"/>
    <w:semiHidden/>
    <w:qFormat/>
    <w:uiPriority w:val="99"/>
    <w:rPr>
      <w:rFonts w:ascii="Times New Roman" w:hAnsi="Times New Roman" w:eastAsia="Courier New" w:cs="Times New Roman"/>
      <w:szCs w:val="21"/>
    </w:rPr>
  </w:style>
  <w:style w:type="character" w:customStyle="1" w:styleId="35">
    <w:name w:val="标题 4 Char"/>
    <w:basedOn w:val="21"/>
    <w:link w:val="7"/>
    <w:semiHidden/>
    <w:qFormat/>
    <w:uiPriority w:val="9"/>
    <w:rPr>
      <w:rFonts w:asciiTheme="majorHAnsi" w:hAnsiTheme="majorHAnsi" w:eastAsiaTheme="majorEastAsia" w:cstheme="majorBidi"/>
      <w:b/>
      <w:bCs/>
      <w:sz w:val="28"/>
      <w:szCs w:val="28"/>
    </w:rPr>
  </w:style>
  <w:style w:type="character" w:customStyle="1" w:styleId="36">
    <w:name w:val="批注框文本 Char"/>
    <w:basedOn w:val="21"/>
    <w:link w:val="12"/>
    <w:semiHidden/>
    <w:qFormat/>
    <w:uiPriority w:val="99"/>
    <w:rPr>
      <w:rFonts w:ascii="Times New Roman" w:hAnsi="Times New Roman" w:eastAsia="Courier New" w:cs="Times New Roman"/>
      <w:kern w:val="2"/>
      <w:sz w:val="18"/>
      <w:szCs w:val="18"/>
    </w:rPr>
  </w:style>
  <w:style w:type="table" w:customStyle="1" w:styleId="37">
    <w:name w:val="Table Normal"/>
    <w:unhideWhenUsed/>
    <w:qFormat/>
    <w:uiPriority w:val="2"/>
    <w:tblPr>
      <w:tblCellMar>
        <w:top w:w="0" w:type="dxa"/>
        <w:left w:w="0" w:type="dxa"/>
        <w:bottom w:w="0" w:type="dxa"/>
        <w:right w:w="0" w:type="dxa"/>
      </w:tblCellMar>
    </w:tblPr>
  </w:style>
  <w:style w:type="paragraph" w:customStyle="1" w:styleId="38">
    <w:name w:val="List Paragraph"/>
    <w:basedOn w:val="1"/>
    <w:qFormat/>
    <w:uiPriority w:val="1"/>
    <w:pPr>
      <w:autoSpaceDE w:val="0"/>
      <w:autoSpaceDN w:val="0"/>
      <w:ind w:left="109" w:right="99" w:firstLine="641"/>
      <w:jc w:val="left"/>
    </w:pPr>
    <w:rPr>
      <w:rFonts w:ascii="Arial Unicode MS" w:hAnsi="Arial Unicode MS" w:eastAsia="Arial Unicode MS" w:cs="Arial Unicode MS"/>
      <w:kern w:val="0"/>
      <w:sz w:val="22"/>
      <w:szCs w:val="22"/>
      <w:lang w:eastAsia="en-US"/>
    </w:rPr>
  </w:style>
  <w:style w:type="paragraph" w:customStyle="1" w:styleId="39">
    <w:name w:val="Table Paragraph"/>
    <w:basedOn w:val="1"/>
    <w:qFormat/>
    <w:uiPriority w:val="1"/>
    <w:pPr>
      <w:autoSpaceDE w:val="0"/>
      <w:autoSpaceDN w:val="0"/>
      <w:jc w:val="left"/>
    </w:pPr>
    <w:rPr>
      <w:rFonts w:ascii="宋体" w:hAnsi="宋体" w:eastAsia="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forceAA="0"/>
          <a:lstStyle/>
          <a:p>
            <a:pPr defTabSz="914400">
              <a:defRPr lang="zh-CN" sz="1400" b="0" i="0" u="none" strike="noStrike" kern="1200" spc="0" baseline="0">
                <a:solidFill>
                  <a:schemeClr val="tx1">
                    <a:lumMod val="65000"/>
                    <a:lumOff val="35000"/>
                  </a:schemeClr>
                </a:solidFill>
                <a:latin typeface="微软雅黑" panose="020B0503020204020204" pitchFamily="2" charset="-122"/>
                <a:ea typeface="微软雅黑" panose="020B0503020204020204" pitchFamily="2" charset="-122"/>
                <a:cs typeface="+mn-cs"/>
              </a:defRPr>
            </a:pPr>
            <a:r>
              <a:t>收入预算图</a:t>
            </a:r>
          </a:p>
        </c:rich>
      </c:tx>
      <c:layout/>
      <c:overlay val="0"/>
      <c:spPr>
        <a:noFill/>
        <a:ln>
          <a:noFill/>
        </a:ln>
        <a:effectLst/>
      </c:spPr>
    </c:title>
    <c:autoTitleDeleted val="0"/>
    <c:plotArea>
      <c:layout>
        <c:manualLayout>
          <c:layoutTarget val="inner"/>
          <c:xMode val="edge"/>
          <c:yMode val="edge"/>
          <c:x val="0.308977682747561"/>
          <c:y val="0.185325602140946"/>
          <c:w val="0.387144193505279"/>
          <c:h val="0.64607493309545"/>
        </c:manualLayout>
      </c:layout>
      <c:pieChart>
        <c:varyColors val="1"/>
        <c:ser>
          <c:idx val="0"/>
          <c:order val="0"/>
          <c:tx>
            <c:strRef>
              <c:f>Sheet1!$B$1</c:f>
              <c:strCache>
                <c:ptCount val="1"/>
                <c:pt idx="0">
                  <c:v>收入预算图</c:v>
                </c:pt>
              </c:strCache>
            </c:strRef>
          </c:tx>
          <c:spPr>
            <a:ln w="19050">
              <a:solidFill>
                <a:schemeClr val="bg1"/>
              </a:solidFill>
            </a:ln>
            <a:effectLst>
              <a:outerShdw blurRad="63500" sx="102000" sy="102000" algn="ctr" rotWithShape="0">
                <a:srgbClr val="384C7C">
                  <a:alpha val="18000"/>
                </a:srgbClr>
              </a:outerShdw>
            </a:effectLst>
          </c:spPr>
          <c:explosion val="0"/>
          <c:dPt>
            <c:idx val="0"/>
            <c:bubble3D val="0"/>
            <c:spPr>
              <a:solidFill>
                <a:srgbClr val="04CD9E"/>
              </a:solidFill>
              <a:ln w="19050">
                <a:solidFill>
                  <a:schemeClr val="bg1"/>
                </a:solidFill>
                <a:miter lim="800000"/>
              </a:ln>
              <a:effectLst>
                <a:outerShdw blurRad="63500" sx="102000" sy="102000" algn="ctr" rotWithShape="0">
                  <a:srgbClr val="384C7C">
                    <a:alpha val="18000"/>
                  </a:srgbClr>
                </a:outerShdw>
              </a:effectLst>
            </c:spPr>
          </c:dPt>
          <c:dPt>
            <c:idx val="1"/>
            <c:bubble3D val="0"/>
            <c:spPr>
              <a:solidFill>
                <a:srgbClr val="80E214"/>
              </a:solidFill>
              <a:ln w="22225">
                <a:solidFill>
                  <a:schemeClr val="bg1"/>
                </a:solidFill>
              </a:ln>
              <a:effectLst>
                <a:outerShdw blurRad="63500" sx="102000" sy="102000" algn="ctr" rotWithShape="0">
                  <a:srgbClr val="384C7C">
                    <a:alpha val="18000"/>
                  </a:srgbClr>
                </a:outerShdw>
              </a:effectLst>
            </c:spPr>
          </c:dPt>
          <c:dPt>
            <c:idx val="2"/>
            <c:bubble3D val="0"/>
            <c:spPr>
              <a:solidFill>
                <a:srgbClr val="119FBE"/>
              </a:solidFill>
              <a:ln w="19050">
                <a:solidFill>
                  <a:schemeClr val="bg1"/>
                </a:solidFill>
              </a:ln>
              <a:effectLst>
                <a:outerShdw blurRad="63500" sx="102000" sy="102000" algn="ctr" rotWithShape="0">
                  <a:srgbClr val="384C7C">
                    <a:alpha val="18000"/>
                  </a:srgbClr>
                </a:outerShdw>
              </a:effectLst>
            </c:spPr>
          </c:dPt>
          <c:dPt>
            <c:idx val="3"/>
            <c:bubble3D val="0"/>
            <c:spPr>
              <a:solidFill>
                <a:srgbClr val="EBC279"/>
              </a:solidFill>
              <a:ln w="19050">
                <a:solidFill>
                  <a:schemeClr val="bg1"/>
                </a:solidFill>
              </a:ln>
              <a:effectLst>
                <a:outerShdw blurRad="63500" sx="102000" sy="102000" algn="ctr" rotWithShape="0">
                  <a:srgbClr val="384C7C">
                    <a:alpha val="18000"/>
                  </a:srgbClr>
                </a:outerShdw>
              </a:effectLst>
            </c:spPr>
          </c:dPt>
          <c:dLbls>
            <c:numFmt formatCode="General" sourceLinked="1"/>
            <c:spPr>
              <a:noFill/>
              <a:ln>
                <a:noFill/>
              </a:ln>
              <a:effectLst/>
            </c:spPr>
            <c:txPr>
              <a:bodyPr rot="0" spcFirstLastPara="0" vertOverflow="ellipsis" vert="horz" wrap="square" lIns="38100" tIns="19050" rIns="38100" bIns="19050" anchor="ctr" anchorCtr="1" forceAA="0">
                <a:spAutoFit/>
              </a:bodyPr>
              <a:lstStyle/>
              <a:p>
                <a:pPr>
                  <a:defRPr lang="zh-CN" sz="900" b="0" i="0" u="none" strike="noStrike" kern="1200" baseline="0">
                    <a:solidFill>
                      <a:schemeClr val="bg1"/>
                    </a:solidFill>
                    <a:latin typeface="微软雅黑" panose="020B0503020204020204" pitchFamily="2" charset="-122"/>
                    <a:ea typeface="微软雅黑" panose="020B0503020204020204" pitchFamily="2" charset="-122"/>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一般公共预算收入</c:v>
                </c:pt>
              </c:strCache>
            </c:strRef>
          </c:cat>
          <c:val>
            <c:numRef>
              <c:f>Sheet1!$B$2:$B$5</c:f>
              <c:numCache>
                <c:formatCode>General</c:formatCode>
                <c:ptCount val="4"/>
                <c:pt idx="0">
                  <c:v>431.79</c:v>
                </c:pt>
              </c:numCache>
            </c:numRef>
          </c:val>
        </c:ser>
        <c:dLbls>
          <c:showLegendKey val="0"/>
          <c:showVal val="1"/>
          <c:showCatName val="0"/>
          <c:showSerName val="0"/>
          <c:showPercent val="0"/>
          <c:showBubbleSize val="0"/>
          <c:showLeaderLines val="1"/>
        </c:dLbls>
        <c:firstSliceAng val="8"/>
      </c:pieChart>
      <c:spPr>
        <a:noFill/>
        <a:ln>
          <a:noFill/>
        </a:ln>
        <a:effectLst/>
      </c:spPr>
    </c:plotArea>
    <c:legend>
      <c:legendPos val="b"/>
      <c:legendEntry>
        <c:idx val="1"/>
        <c:delete val="1"/>
      </c:legendEntry>
      <c:legendEntry>
        <c:idx val="2"/>
        <c:delete val="1"/>
      </c:legendEntry>
      <c:legendEntry>
        <c:idx val="3"/>
        <c:delete val="1"/>
      </c:legendEntry>
      <c:layout>
        <c:manualLayout>
          <c:xMode val="edge"/>
          <c:yMode val="edge"/>
          <c:x val="0.3494375"/>
          <c:y val="0.922"/>
        </c:manualLayout>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pitchFamily="2" charset="-122"/>
              <a:ea typeface="微软雅黑" panose="020B0503020204020204" pitchFamily="2" charset="-122"/>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a:latin typeface="微软雅黑" panose="020B0503020204020204" pitchFamily="2" charset="-122"/>
          <a:ea typeface="微软雅黑" panose="020B0503020204020204" pitchFamily="2"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forceAA="0"/>
          <a:lstStyle/>
          <a:p>
            <a:pPr defTabSz="914400">
              <a:defRPr lang="zh-CN" sz="1400" b="0" i="0" u="none" strike="noStrike" kern="1200" spc="0" baseline="0">
                <a:solidFill>
                  <a:schemeClr val="tx1">
                    <a:lumMod val="65000"/>
                    <a:lumOff val="35000"/>
                  </a:schemeClr>
                </a:solidFill>
                <a:latin typeface="微软雅黑" panose="020B0503020204020204" pitchFamily="2" charset="-122"/>
                <a:ea typeface="微软雅黑" panose="020B0503020204020204" pitchFamily="2" charset="-122"/>
                <a:cs typeface="+mn-cs"/>
              </a:defRPr>
            </a:pPr>
            <a:r>
              <a:t>支出预算图</a:t>
            </a:r>
          </a:p>
        </c:rich>
      </c:tx>
      <c:layout>
        <c:manualLayout>
          <c:xMode val="edge"/>
          <c:yMode val="edge"/>
          <c:x val="0.416125"/>
          <c:y val="0.0225"/>
        </c:manualLayout>
      </c:layout>
      <c:overlay val="0"/>
      <c:spPr>
        <a:noFill/>
        <a:ln>
          <a:noFill/>
        </a:ln>
        <a:effectLst/>
      </c:spPr>
    </c:title>
    <c:autoTitleDeleted val="0"/>
    <c:plotArea>
      <c:layout>
        <c:manualLayout>
          <c:layoutTarget val="inner"/>
          <c:xMode val="edge"/>
          <c:yMode val="edge"/>
          <c:x val="0.308977682747561"/>
          <c:y val="0.185325602140946"/>
          <c:w val="0.387144193505279"/>
          <c:h val="0.64607493309545"/>
        </c:manualLayout>
      </c:layout>
      <c:pieChart>
        <c:varyColors val="1"/>
        <c:ser>
          <c:idx val="0"/>
          <c:order val="0"/>
          <c:tx>
            <c:strRef>
              <c:f>Sheet1!$B$1</c:f>
              <c:strCache>
                <c:ptCount val="1"/>
                <c:pt idx="0">
                  <c:v>销售额</c:v>
                </c:pt>
              </c:strCache>
            </c:strRef>
          </c:tx>
          <c:spPr>
            <a:ln w="19050">
              <a:solidFill>
                <a:schemeClr val="bg1"/>
              </a:solidFill>
            </a:ln>
            <a:effectLst>
              <a:outerShdw blurRad="63500" sx="102000" sy="102000" algn="ctr" rotWithShape="0">
                <a:srgbClr val="384C7C">
                  <a:alpha val="18000"/>
                </a:srgbClr>
              </a:outerShdw>
            </a:effectLst>
          </c:spPr>
          <c:explosion val="0"/>
          <c:dPt>
            <c:idx val="0"/>
            <c:bubble3D val="0"/>
            <c:spPr>
              <a:solidFill>
                <a:srgbClr val="04CD9E"/>
              </a:solidFill>
              <a:ln w="19050">
                <a:solidFill>
                  <a:schemeClr val="bg1"/>
                </a:solidFill>
                <a:miter lim="800000"/>
              </a:ln>
              <a:effectLst>
                <a:outerShdw blurRad="63500" sx="102000" sy="102000" algn="ctr" rotWithShape="0">
                  <a:srgbClr val="384C7C">
                    <a:alpha val="18000"/>
                  </a:srgbClr>
                </a:outerShdw>
              </a:effectLst>
            </c:spPr>
          </c:dPt>
          <c:dPt>
            <c:idx val="1"/>
            <c:bubble3D val="0"/>
            <c:spPr>
              <a:solidFill>
                <a:srgbClr val="80E214"/>
              </a:solidFill>
              <a:ln w="22225">
                <a:solidFill>
                  <a:schemeClr val="bg1"/>
                </a:solidFill>
              </a:ln>
              <a:effectLst>
                <a:outerShdw blurRad="63500" sx="102000" sy="102000" algn="ctr" rotWithShape="0">
                  <a:srgbClr val="384C7C">
                    <a:alpha val="18000"/>
                  </a:srgbClr>
                </a:outerShdw>
              </a:effectLst>
            </c:spPr>
          </c:dPt>
          <c:dPt>
            <c:idx val="2"/>
            <c:bubble3D val="0"/>
            <c:spPr>
              <a:solidFill>
                <a:srgbClr val="119FBE"/>
              </a:solidFill>
              <a:ln w="19050">
                <a:solidFill>
                  <a:schemeClr val="bg1"/>
                </a:solidFill>
              </a:ln>
              <a:effectLst>
                <a:outerShdw blurRad="63500" sx="102000" sy="102000" algn="ctr" rotWithShape="0">
                  <a:srgbClr val="384C7C">
                    <a:alpha val="18000"/>
                  </a:srgbClr>
                </a:outerShdw>
              </a:effectLst>
            </c:spPr>
          </c:dPt>
          <c:dPt>
            <c:idx val="3"/>
            <c:bubble3D val="0"/>
            <c:spPr>
              <a:solidFill>
                <a:srgbClr val="EBC279"/>
              </a:solidFill>
              <a:ln w="19050">
                <a:solidFill>
                  <a:schemeClr val="bg1"/>
                </a:solidFill>
              </a:ln>
              <a:effectLst>
                <a:outerShdw blurRad="63500" sx="102000" sy="102000" algn="ctr" rotWithShape="0">
                  <a:srgbClr val="384C7C">
                    <a:alpha val="18000"/>
                  </a:srgbClr>
                </a:outerShdw>
              </a:effectLst>
            </c:spPr>
          </c:dPt>
          <c:dLbls>
            <c:numFmt formatCode="General" sourceLinked="1"/>
            <c:spPr>
              <a:noFill/>
              <a:ln>
                <a:noFill/>
              </a:ln>
              <a:effectLst/>
            </c:spPr>
            <c:txPr>
              <a:bodyPr rot="0" spcFirstLastPara="0" vertOverflow="ellipsis" vert="horz" wrap="square" lIns="38100" tIns="19050" rIns="38100" bIns="19050" anchor="ctr" anchorCtr="1" forceAA="0">
                <a:spAutoFit/>
              </a:bodyPr>
              <a:lstStyle/>
              <a:p>
                <a:pPr>
                  <a:defRPr lang="zh-CN" sz="900" b="0" i="0" u="none" strike="noStrike" kern="1200" baseline="0">
                    <a:solidFill>
                      <a:schemeClr val="bg1"/>
                    </a:solidFill>
                    <a:latin typeface="微软雅黑" panose="020B0503020204020204" pitchFamily="2" charset="-122"/>
                    <a:ea typeface="微软雅黑" panose="020B0503020204020204" pitchFamily="2" charset="-122"/>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strCache>
            </c:strRef>
          </c:cat>
          <c:val>
            <c:numRef>
              <c:f>Sheet1!$B$2:$B$5</c:f>
              <c:numCache>
                <c:formatCode>General</c:formatCode>
                <c:ptCount val="4"/>
                <c:pt idx="0">
                  <c:v>188.99</c:v>
                </c:pt>
                <c:pt idx="1">
                  <c:v>242.8</c:v>
                </c:pt>
              </c:numCache>
            </c:numRef>
          </c:val>
        </c:ser>
        <c:dLbls>
          <c:showLegendKey val="0"/>
          <c:showVal val="1"/>
          <c:showCatName val="0"/>
          <c:showSerName val="0"/>
          <c:showPercent val="0"/>
          <c:showBubbleSize val="0"/>
          <c:showLeaderLines val="1"/>
        </c:dLbls>
        <c:firstSliceAng val="8"/>
      </c:pieChart>
      <c:spPr>
        <a:noFill/>
        <a:ln>
          <a:noFill/>
        </a:ln>
        <a:effectLst/>
      </c:spPr>
    </c:plotArea>
    <c:legend>
      <c:legendPos val="b"/>
      <c:legendEntry>
        <c:idx val="2"/>
        <c:delete val="1"/>
      </c:legendEntry>
      <c:legendEntry>
        <c:idx val="3"/>
        <c:delete val="1"/>
      </c:legendEntry>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pitchFamily="2" charset="-122"/>
              <a:ea typeface="微软雅黑" panose="020B0503020204020204" pitchFamily="2" charset="-122"/>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a:latin typeface="微软雅黑" panose="020B0503020204020204" pitchFamily="2" charset="-122"/>
          <a:ea typeface="微软雅黑" panose="020B0503020204020204" pitchFamily="2"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6208</Words>
  <Characters>6760</Characters>
  <Lines>246</Lines>
  <Paragraphs>69</Paragraphs>
  <TotalTime>42</TotalTime>
  <ScaleCrop>false</ScaleCrop>
  <LinksUpToDate>false</LinksUpToDate>
  <CharactersWithSpaces>6832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2021-11-01T16:43:00Z</dcterms:created>
  <dc:creator>Richard Meng</dc:creator>
  <cp:lastModifiedBy>Administrator</cp:lastModifiedBy>
  <cp:lastPrinted>2023-01-16T16:04:00Z</cp:lastPrinted>
  <dcterms:modified xsi:type="dcterms:W3CDTF">2024-02-22T01:36:30Z</dcterms:modified>
  <cp:revision>1199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6CCB8C9460014576B4443164B5F9DA2E_13</vt:lpwstr>
  </property>
</Properties>
</file>