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sz w:val="24"/>
        </w:rPr>
      </w:pPr>
      <w:bookmarkStart w:id="1" w:name="_GoBack"/>
      <w:bookmarkEnd w:id="1"/>
    </w:p>
    <w:p>
      <w:pPr>
        <w:spacing w:line="360" w:lineRule="auto"/>
        <w:jc w:val="center"/>
        <w:rPr>
          <w:rFonts w:ascii="宋体"/>
          <w:sz w:val="24"/>
        </w:rPr>
      </w:pPr>
    </w:p>
    <w:p>
      <w:pPr>
        <w:spacing w:line="360" w:lineRule="auto"/>
        <w:jc w:val="center"/>
        <w:rPr>
          <w:rFonts w:ascii="宋体"/>
          <w:sz w:val="24"/>
        </w:rPr>
      </w:pPr>
    </w:p>
    <w:p>
      <w:pPr>
        <w:spacing w:line="360" w:lineRule="auto"/>
        <w:jc w:val="center"/>
        <w:rPr>
          <w:rFonts w:ascii="宋体"/>
          <w:sz w:val="24"/>
        </w:rPr>
      </w:pPr>
    </w:p>
    <w:p>
      <w:pPr>
        <w:spacing w:line="360" w:lineRule="auto"/>
        <w:jc w:val="center"/>
        <w:rPr>
          <w:rFonts w:ascii="宋体"/>
          <w:b/>
          <w:bCs/>
          <w:sz w:val="52"/>
          <w:szCs w:val="52"/>
        </w:rPr>
      </w:pPr>
      <w:r>
        <w:rPr>
          <w:rFonts w:ascii="宋体" w:hAnsi="宋体"/>
          <w:b/>
          <w:bCs/>
          <w:sz w:val="52"/>
          <w:szCs w:val="52"/>
        </w:rPr>
        <w:t>2022</w:t>
      </w:r>
      <w:r>
        <w:rPr>
          <w:rFonts w:hint="eastAsia" w:ascii="宋体" w:hAnsi="宋体"/>
          <w:b/>
          <w:bCs/>
          <w:sz w:val="52"/>
          <w:szCs w:val="52"/>
        </w:rPr>
        <w:t>年度通辽市科学技术馆</w:t>
      </w:r>
    </w:p>
    <w:p>
      <w:pPr>
        <w:spacing w:line="360" w:lineRule="auto"/>
        <w:jc w:val="center"/>
        <w:rPr>
          <w:rFonts w:ascii="宋体"/>
          <w:b/>
          <w:bCs/>
          <w:sz w:val="52"/>
          <w:szCs w:val="52"/>
        </w:rPr>
      </w:pPr>
      <w:r>
        <w:rPr>
          <w:rFonts w:hint="eastAsia" w:ascii="宋体" w:hAnsi="宋体"/>
          <w:b/>
          <w:bCs/>
          <w:sz w:val="52"/>
          <w:szCs w:val="52"/>
        </w:rPr>
        <w:t>分析报告</w:t>
      </w: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ind w:firstLine="2240" w:firstLineChars="700"/>
        <w:jc w:val="left"/>
        <w:rPr>
          <w:rFonts w:ascii="宋体"/>
          <w:sz w:val="32"/>
          <w:szCs w:val="32"/>
        </w:rPr>
      </w:pPr>
      <w:r>
        <w:rPr>
          <w:rFonts w:hint="eastAsia" w:ascii="宋体" w:hAnsi="宋体"/>
          <w:sz w:val="32"/>
          <w:szCs w:val="32"/>
        </w:rPr>
        <w:t>部门（单位）名称：通辽市科学技术馆</w:t>
      </w:r>
    </w:p>
    <w:p>
      <w:pPr>
        <w:spacing w:line="360" w:lineRule="auto"/>
        <w:ind w:firstLine="2240" w:firstLineChars="700"/>
        <w:jc w:val="left"/>
        <w:rPr>
          <w:rFonts w:ascii="宋体"/>
          <w:sz w:val="32"/>
          <w:szCs w:val="32"/>
        </w:rPr>
      </w:pPr>
      <w:r>
        <w:rPr>
          <w:rFonts w:hint="eastAsia" w:ascii="宋体" w:hAnsi="宋体"/>
          <w:sz w:val="32"/>
          <w:szCs w:val="32"/>
        </w:rPr>
        <w:t>单位负责人：于伟丽</w:t>
      </w:r>
    </w:p>
    <w:p>
      <w:pPr>
        <w:spacing w:line="360" w:lineRule="auto"/>
        <w:ind w:firstLine="2240" w:firstLineChars="700"/>
        <w:jc w:val="left"/>
        <w:rPr>
          <w:rFonts w:ascii="宋体"/>
          <w:sz w:val="32"/>
          <w:szCs w:val="32"/>
        </w:rPr>
      </w:pPr>
      <w:r>
        <w:rPr>
          <w:rFonts w:hint="eastAsia" w:ascii="宋体" w:hAnsi="宋体"/>
          <w:sz w:val="32"/>
          <w:szCs w:val="32"/>
        </w:rPr>
        <w:t>财务负责人：杜蓬</w:t>
      </w:r>
    </w:p>
    <w:p>
      <w:pPr>
        <w:spacing w:line="360" w:lineRule="auto"/>
        <w:ind w:firstLine="2240" w:firstLineChars="700"/>
        <w:jc w:val="left"/>
        <w:rPr>
          <w:rFonts w:ascii="宋体"/>
          <w:sz w:val="32"/>
          <w:szCs w:val="32"/>
        </w:rPr>
      </w:pPr>
      <w:r>
        <w:rPr>
          <w:rFonts w:hint="eastAsia" w:ascii="宋体" w:hAnsi="宋体"/>
          <w:sz w:val="32"/>
          <w:szCs w:val="32"/>
        </w:rPr>
        <w:t>编制人：金雪峰</w:t>
      </w:r>
    </w:p>
    <w:p>
      <w:pPr>
        <w:spacing w:line="360" w:lineRule="auto"/>
        <w:ind w:firstLine="2240" w:firstLineChars="700"/>
        <w:jc w:val="left"/>
        <w:rPr>
          <w:rFonts w:ascii="宋体"/>
          <w:sz w:val="32"/>
          <w:szCs w:val="32"/>
        </w:rPr>
      </w:pPr>
      <w:r>
        <w:rPr>
          <w:rFonts w:hint="eastAsia" w:ascii="宋体" w:hAnsi="宋体"/>
          <w:sz w:val="32"/>
          <w:szCs w:val="32"/>
        </w:rPr>
        <w:t>报送日期：</w:t>
      </w:r>
      <w:r>
        <w:rPr>
          <w:rFonts w:ascii="宋体" w:hAnsi="宋体"/>
          <w:sz w:val="32"/>
          <w:szCs w:val="32"/>
        </w:rPr>
        <w:t>2023</w:t>
      </w:r>
      <w:r>
        <w:rPr>
          <w:rFonts w:hint="eastAsia" w:ascii="宋体" w:hAnsi="宋体"/>
          <w:sz w:val="32"/>
          <w:szCs w:val="32"/>
        </w:rPr>
        <w:t>年</w:t>
      </w:r>
      <w:r>
        <w:rPr>
          <w:rFonts w:ascii="宋体" w:hAnsi="宋体"/>
          <w:sz w:val="32"/>
          <w:szCs w:val="32"/>
        </w:rPr>
        <w:t>1</w:t>
      </w:r>
      <w:r>
        <w:rPr>
          <w:rFonts w:hint="eastAsia" w:ascii="宋体" w:hAnsi="宋体"/>
          <w:sz w:val="32"/>
          <w:szCs w:val="32"/>
        </w:rPr>
        <w:t>月</w:t>
      </w:r>
    </w:p>
    <w:p>
      <w:pPr>
        <w:ind w:firstLine="2249" w:firstLineChars="700"/>
        <w:rPr>
          <w:rFonts w:ascii="仿宋" w:hAnsi="仿宋" w:eastAsia="仿宋"/>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083" w:bottom="1440" w:left="1083" w:header="0" w:footer="720" w:gutter="0"/>
          <w:cols w:space="425" w:num="1"/>
          <w:docGrid w:type="lines" w:linePitch="312" w:charSpace="0"/>
        </w:sectPr>
      </w:pPr>
    </w:p>
    <w:p>
      <w:pPr>
        <w:adjustRightInd w:val="0"/>
        <w:snapToGrid w:val="0"/>
        <w:rPr>
          <w:rFonts w:ascii="宋体"/>
          <w:b/>
          <w:sz w:val="32"/>
          <w:szCs w:val="32"/>
        </w:rPr>
      </w:pPr>
    </w:p>
    <w:p>
      <w:pPr>
        <w:adjustRightInd w:val="0"/>
        <w:snapToGrid w:val="0"/>
        <w:jc w:val="center"/>
      </w:pPr>
    </w:p>
    <w:p>
      <w:pPr>
        <w:adjustRightInd w:val="0"/>
        <w:snapToGrid w:val="0"/>
        <w:rPr>
          <w:rFonts w:ascii="宋体"/>
          <w:b/>
          <w:sz w:val="32"/>
          <w:szCs w:val="32"/>
        </w:rPr>
      </w:pPr>
    </w:p>
    <w:p>
      <w:pPr>
        <w:pStyle w:val="2"/>
      </w:pPr>
      <w:r>
        <w:rPr>
          <w:rFonts w:hint="eastAsia"/>
        </w:rPr>
        <w:t>分析报告</w:t>
      </w:r>
    </w:p>
    <w:p>
      <w:pPr>
        <w:pStyle w:val="2"/>
        <w:keepNext w:val="0"/>
        <w:keepLines w:val="0"/>
        <w:widowControl/>
        <w:spacing w:before="0" w:after="322" w:line="240" w:lineRule="auto"/>
        <w:jc w:val="center"/>
        <w:rPr>
          <w:rFonts w:eastAsia="Times New Roman"/>
          <w:kern w:val="0"/>
          <w:sz w:val="48"/>
          <w:szCs w:val="48"/>
        </w:rPr>
      </w:pPr>
      <w:bookmarkStart w:id="0" w:name="a000"/>
      <w:r>
        <w:rPr>
          <w:rFonts w:eastAsia="Times New Roman"/>
          <w:kern w:val="36"/>
          <w:sz w:val="48"/>
          <w:szCs w:val="48"/>
        </w:rPr>
        <w:t>2022</w:t>
      </w:r>
      <w:r>
        <w:rPr>
          <w:rFonts w:hint="eastAsia" w:ascii="宋体" w:hAnsi="宋体" w:cs="宋体"/>
          <w:kern w:val="36"/>
          <w:sz w:val="48"/>
          <w:szCs w:val="48"/>
        </w:rPr>
        <w:t>年度部门决算分析报告</w:t>
      </w:r>
    </w:p>
    <w:p>
      <w:pPr>
        <w:widowControl/>
        <w:spacing w:before="240" w:after="240"/>
        <w:jc w:val="left"/>
        <w:rPr>
          <w:rFonts w:eastAsia="Times New Roman"/>
          <w:kern w:val="0"/>
          <w:sz w:val="24"/>
        </w:rPr>
      </w:pPr>
    </w:p>
    <w:p>
      <w:pPr>
        <w:pStyle w:val="3"/>
        <w:keepNext w:val="0"/>
        <w:keepLines w:val="0"/>
        <w:widowControl/>
        <w:spacing w:before="299" w:after="299" w:line="240" w:lineRule="auto"/>
        <w:jc w:val="left"/>
        <w:rPr>
          <w:rFonts w:ascii="Times New Roman" w:hAnsi="Times New Roman"/>
          <w:kern w:val="0"/>
          <w:sz w:val="36"/>
          <w:szCs w:val="36"/>
        </w:rPr>
      </w:pPr>
      <w:r>
        <w:rPr>
          <w:rFonts w:hint="eastAsia" w:ascii="宋体" w:hAnsi="宋体" w:eastAsia="宋体" w:cs="宋体"/>
          <w:kern w:val="0"/>
          <w:sz w:val="36"/>
          <w:szCs w:val="36"/>
        </w:rPr>
        <w:t>一、单位情况</w:t>
      </w:r>
    </w:p>
    <w:p>
      <w:pPr>
        <w:pStyle w:val="4"/>
        <w:keepNext w:val="0"/>
        <w:keepLines w:val="0"/>
        <w:widowControl/>
        <w:spacing w:before="281" w:after="281" w:line="240" w:lineRule="auto"/>
        <w:jc w:val="left"/>
        <w:rPr>
          <w:rFonts w:eastAsia="Times New Roman"/>
          <w:kern w:val="0"/>
          <w:sz w:val="28"/>
          <w:szCs w:val="28"/>
        </w:rPr>
      </w:pPr>
      <w:r>
        <w:rPr>
          <w:rFonts w:eastAsia="Times New Roman"/>
          <w:kern w:val="0"/>
          <w:sz w:val="28"/>
          <w:szCs w:val="28"/>
        </w:rPr>
        <w:t>     </w:t>
      </w:r>
      <w:r>
        <w:rPr>
          <w:rFonts w:hint="eastAsia" w:ascii="宋体" w:hAnsi="宋体" w:cs="宋体"/>
          <w:kern w:val="0"/>
          <w:sz w:val="28"/>
          <w:szCs w:val="28"/>
        </w:rPr>
        <w:t>（一）基本情况。</w:t>
      </w:r>
    </w:p>
    <w:p>
      <w:pPr>
        <w:widowControl/>
        <w:spacing w:before="240" w:after="240"/>
        <w:jc w:val="left"/>
        <w:rPr>
          <w:kern w:val="0"/>
          <w:sz w:val="24"/>
        </w:rPr>
      </w:pPr>
      <w:r>
        <w:rPr>
          <w:rFonts w:eastAsia="Times New Roman"/>
          <w:kern w:val="0"/>
          <w:sz w:val="24"/>
        </w:rPr>
        <w:t>      1</w:t>
      </w:r>
      <w:r>
        <w:rPr>
          <w:rFonts w:hint="eastAsia" w:ascii="宋体" w:hAnsi="宋体" w:cs="宋体"/>
          <w:kern w:val="0"/>
          <w:sz w:val="24"/>
        </w:rPr>
        <w:t>．主要职能：通过科学性、知识性、趣味性相结合的展览内容和参与互动的形式，反应科学原理和技术应用，鼓励公众动手探索实践，通过亲身参与对科学的理解和感悟，不仅普及科学知识，而且注重培养观众的科学思想、科学方法和科学精神，提高其科学素质。</w:t>
      </w:r>
    </w:p>
    <w:p>
      <w:pPr>
        <w:widowControl/>
        <w:spacing w:before="240" w:after="240"/>
        <w:jc w:val="left"/>
        <w:rPr>
          <w:rFonts w:eastAsia="Times New Roman"/>
          <w:kern w:val="0"/>
          <w:sz w:val="24"/>
        </w:rPr>
      </w:pPr>
      <w:r>
        <w:rPr>
          <w:rFonts w:eastAsia="Times New Roman"/>
          <w:kern w:val="0"/>
          <w:sz w:val="24"/>
        </w:rPr>
        <w:t> </w:t>
      </w:r>
      <w:r>
        <w:rPr>
          <w:kern w:val="0"/>
          <w:sz w:val="24"/>
        </w:rPr>
        <w:t xml:space="preserve">    </w:t>
      </w:r>
      <w:r>
        <w:rPr>
          <w:rFonts w:eastAsia="Times New Roman"/>
          <w:kern w:val="0"/>
          <w:sz w:val="24"/>
        </w:rPr>
        <w:t>2</w:t>
      </w:r>
      <w:r>
        <w:rPr>
          <w:rFonts w:hint="eastAsia" w:ascii="宋体" w:hAnsi="宋体" w:cs="宋体"/>
          <w:kern w:val="0"/>
          <w:sz w:val="24"/>
        </w:rPr>
        <w:t>．机构情况：本单位通辽市科学技术馆，二级预算单位，报表类型为：单户表。</w:t>
      </w:r>
    </w:p>
    <w:p>
      <w:pPr>
        <w:widowControl/>
        <w:spacing w:before="240" w:after="240"/>
        <w:ind w:firstLine="480" w:firstLineChars="200"/>
        <w:jc w:val="left"/>
        <w:rPr>
          <w:rFonts w:eastAsia="Times New Roman"/>
          <w:kern w:val="0"/>
          <w:sz w:val="24"/>
        </w:rPr>
      </w:pPr>
      <w:r>
        <w:rPr>
          <w:rFonts w:eastAsia="Times New Roman"/>
          <w:kern w:val="0"/>
          <w:sz w:val="24"/>
        </w:rPr>
        <w:t>3</w:t>
      </w:r>
      <w:r>
        <w:rPr>
          <w:rFonts w:hint="eastAsia" w:ascii="宋体" w:hAnsi="宋体" w:cs="宋体"/>
          <w:kern w:val="0"/>
          <w:sz w:val="24"/>
        </w:rPr>
        <w:t>．人员情况：年末独立核算机构数：</w:t>
      </w:r>
      <w:r>
        <w:rPr>
          <w:rFonts w:eastAsia="Times New Roman"/>
          <w:kern w:val="0"/>
          <w:sz w:val="24"/>
        </w:rPr>
        <w:t xml:space="preserve">1 </w:t>
      </w:r>
      <w:r>
        <w:rPr>
          <w:rFonts w:hint="eastAsia" w:ascii="宋体" w:hAnsi="宋体" w:cs="宋体"/>
          <w:kern w:val="0"/>
          <w:sz w:val="24"/>
        </w:rPr>
        <w:t>个，在职人员：</w:t>
      </w:r>
      <w:r>
        <w:rPr>
          <w:rFonts w:eastAsia="Times New Roman"/>
          <w:kern w:val="0"/>
          <w:sz w:val="24"/>
        </w:rPr>
        <w:t xml:space="preserve">  37 </w:t>
      </w:r>
      <w:r>
        <w:rPr>
          <w:rFonts w:hint="eastAsia" w:ascii="宋体" w:hAnsi="宋体" w:cs="宋体"/>
          <w:kern w:val="0"/>
          <w:sz w:val="24"/>
        </w:rPr>
        <w:t>人，离休人员：</w:t>
      </w:r>
      <w:r>
        <w:rPr>
          <w:rFonts w:eastAsia="Times New Roman"/>
          <w:kern w:val="0"/>
          <w:sz w:val="24"/>
        </w:rPr>
        <w:t>0  </w:t>
      </w:r>
      <w:r>
        <w:rPr>
          <w:rFonts w:hint="eastAsia" w:ascii="宋体" w:hAnsi="宋体" w:cs="宋体"/>
          <w:kern w:val="0"/>
          <w:sz w:val="24"/>
        </w:rPr>
        <w:t>人，退休人员：</w:t>
      </w:r>
      <w:r>
        <w:rPr>
          <w:kern w:val="0"/>
          <w:sz w:val="24"/>
        </w:rPr>
        <w:t>16</w:t>
      </w:r>
      <w:r>
        <w:rPr>
          <w:rFonts w:hint="eastAsia" w:ascii="宋体" w:hAnsi="宋体" w:cs="宋体"/>
          <w:kern w:val="0"/>
          <w:sz w:val="24"/>
        </w:rPr>
        <w:t>人，实有人数</w:t>
      </w:r>
      <w:r>
        <w:rPr>
          <w:rFonts w:eastAsia="Times New Roman"/>
          <w:kern w:val="0"/>
          <w:sz w:val="24"/>
        </w:rPr>
        <w:t>_</w:t>
      </w:r>
      <w:r>
        <w:rPr>
          <w:rFonts w:hint="eastAsia" w:ascii="宋体" w:hAnsi="宋体" w:cs="宋体"/>
          <w:kern w:val="0"/>
          <w:sz w:val="24"/>
        </w:rPr>
        <w:t>一般公共预算财政拨款开支人员：</w:t>
      </w:r>
      <w:r>
        <w:rPr>
          <w:rFonts w:eastAsia="Times New Roman"/>
          <w:kern w:val="0"/>
          <w:sz w:val="24"/>
        </w:rPr>
        <w:t>37  </w:t>
      </w:r>
      <w:r>
        <w:rPr>
          <w:rFonts w:hint="eastAsia" w:ascii="宋体" w:hAnsi="宋体" w:cs="宋体"/>
          <w:kern w:val="0"/>
          <w:sz w:val="24"/>
        </w:rPr>
        <w:t>人，年末遗属人员：</w:t>
      </w:r>
      <w:r>
        <w:rPr>
          <w:rFonts w:eastAsia="Times New Roman"/>
          <w:kern w:val="0"/>
          <w:sz w:val="24"/>
        </w:rPr>
        <w:t xml:space="preserve"> 0 </w:t>
      </w:r>
      <w:r>
        <w:rPr>
          <w:rFonts w:hint="eastAsia" w:ascii="宋体" w:hAnsi="宋体" w:cs="宋体"/>
          <w:kern w:val="0"/>
          <w:sz w:val="24"/>
        </w:rPr>
        <w:t>人。</w:t>
      </w:r>
    </w:p>
    <w:p>
      <w:pPr>
        <w:pStyle w:val="4"/>
        <w:keepNext w:val="0"/>
        <w:keepLines w:val="0"/>
        <w:widowControl/>
        <w:spacing w:before="281" w:after="281" w:line="240" w:lineRule="auto"/>
        <w:jc w:val="left"/>
        <w:rPr>
          <w:rFonts w:hint="eastAsia" w:ascii="宋体" w:hAnsi="宋体" w:cs="宋体"/>
          <w:kern w:val="0"/>
          <w:sz w:val="28"/>
          <w:szCs w:val="28"/>
        </w:rPr>
      </w:pPr>
      <w:r>
        <w:rPr>
          <w:rFonts w:eastAsia="Times New Roman"/>
          <w:kern w:val="0"/>
          <w:sz w:val="28"/>
          <w:szCs w:val="28"/>
        </w:rPr>
        <w:t>     </w:t>
      </w:r>
      <w:r>
        <w:rPr>
          <w:rFonts w:hint="eastAsia" w:ascii="宋体" w:hAnsi="宋体" w:cs="宋体"/>
          <w:kern w:val="0"/>
          <w:sz w:val="28"/>
          <w:szCs w:val="28"/>
        </w:rPr>
        <w:t>（二）当年取得的主要事业成效。</w:t>
      </w:r>
    </w:p>
    <w:p>
      <w:pPr>
        <w:pStyle w:val="3"/>
        <w:keepNext w:val="0"/>
        <w:keepLines w:val="0"/>
        <w:widowControl/>
        <w:spacing w:before="299" w:after="299" w:line="240" w:lineRule="auto"/>
        <w:jc w:val="left"/>
        <w:rPr>
          <w:rFonts w:hint="eastAsia" w:ascii="宋体" w:hAnsi="宋体" w:eastAsia="宋体" w:cs="宋体"/>
          <w:b w:val="0"/>
          <w:bCs w:val="0"/>
          <w:kern w:val="0"/>
          <w:sz w:val="24"/>
          <w:szCs w:val="24"/>
          <w:lang w:val="en-US" w:eastAsia="zh-CN"/>
        </w:rPr>
      </w:pPr>
      <w:r>
        <w:rPr>
          <w:rFonts w:hint="eastAsia" w:ascii="宋体" w:hAnsi="宋体" w:cs="宋体"/>
          <w:kern w:val="0"/>
          <w:sz w:val="28"/>
          <w:szCs w:val="28"/>
          <w:lang w:val="en-US" w:eastAsia="zh-CN"/>
        </w:rPr>
        <w:t xml:space="preserve">   </w:t>
      </w:r>
      <w:r>
        <w:rPr>
          <w:rFonts w:hint="eastAsia" w:ascii="宋体" w:hAnsi="宋体" w:eastAsia="宋体" w:cs="宋体"/>
          <w:b w:val="0"/>
          <w:bCs w:val="0"/>
          <w:kern w:val="0"/>
          <w:sz w:val="24"/>
          <w:szCs w:val="24"/>
          <w:lang w:val="en-US" w:eastAsia="zh-CN"/>
        </w:rPr>
        <w:t xml:space="preserve"> 1、推进项目建设，夯实服务根基。</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为切实保障场馆对外免费开放社会服务效益优质化，积极申报各种项目，推进展厅建设。2022年“第一批新增一般债券”项目，获批项目资金800万元。完成少儿科普展厅（科学启智之旅）建设，面积960㎡，展教展品40件；获批内蒙古自治区“基层科普行动计划”盟市科技馆展教展品资源建设项目资金137万元，完成“未来世界”人工智能展厅6件展品采购及“科普+文化”科普图书屋建设；获批中国科技馆“律动世界--化学元素周期表”709万主题展览落地项目；由自治区科技馆资助，启动“众心向党 自立自强党领导下的科学家”主题展。</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2、发挥阵地作用，提升科学素养。</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通辽市科技馆以展览教育为主要功能，服务公众、服务大局，致力于发挥科技馆主阵地作用，提升公众科学素养。一是推进场馆开放。陆续开放“趣·探索”体验馆、全息音响小屋、律动世界－化学元素周期表专题展、“党领导下的科学家”主题展、基础科学流动展品、机器人工作室等展区，共接待公众16000人，其中接待参观团体50个。二是推进展教活动。开展科普大讲堂系列活动26场，讲座内容涵盖人工智能、天文、气象、消防等，线下共200名小学生参加、线上直播共6000人观看。开展科学实验课5次，课程内容包括《鸡蛋奇遇记》、《盐水动力车》、《音乐七彩瓶》等，共有40名小学生参加。三是推进科普影剧原创展演。完成科普舞台剧《小葵的飞天梦》剧本撰写、演员招募、道具制作、剧目排练录制发布等工作。策划拍摄制作微视频“我们的新时代”、“喜迎二十大、奋进新征程”、“大美科尔沁”，其中“大美科尔沁”微视频获得全市第十五名。策划拍摄抖音短视频20余个，包括科普类、宣传类、公告类，总播放量30多万，点赞数4000多，新增粉丝数3000多。四是推进资源研发。完成4套展厅教育活动课程资源包的研发工作，分别为《鸡蛋奇遇记》、《七彩音乐瓶》、《天才雕刻师》以及《盐水动力车》，其中《鸡蛋奇遇记》、《七彩音乐瓶》及《盐水动力车》已经在展厅教育活动中投入使用，效果良好；完成《中国科技史》少儿科普系列课程，预计于下一年度正式推出；完成通辽市青少年科学教育学情调研工作，并形成调研报告；完成科普展品设计方案两套；持续保障展品运行，展品完好率保持在95%以上。</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3、深化科普教育，提升青少年素质。</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科技创新和科学普及是实现创新发展的两翼，把科学普及放在与科技创新同等重要的位置，通辽市科技馆以馆校结合模式，达到资源共享，助力青少年科学素质提升。一是推进科技竞赛。组织参加第36届内蒙古自治区青少年科技创新大赛，选送参赛项目130项，取得科技创新成果奖一等奖12项、二等奖35项、三等奖83项；组织参加第八届全国青年科普创新实验暨作品大赛内蒙古赛区复赛，取得三等奖3项、优秀奖2项，市科技馆荣获“优秀组织单位”称号。举办第八届全国青年科普创新实验暨作品大赛通辽赛区竞赛，来自各旗县市区7所中学的54支参赛队108名参赛选手参加了竞赛。举办“第六届通辽市青少年机器人竞赛科技辅导员培训班”，来自各旗县市区的190名科技辅导员参加培训。举办首届“童贺二十大 科学家故事我来讲”小小讲解员竞赛活动，通过线上线下相结合的方式，参赛人数55人。二是助力“双减”科普行动。组织申报“‘科创筑梦’助力‘双减’科普行动”，经市科协推荐、专家评审，通辽市18家单位获评“科创筑梦”助力“双减”科普行动试点单位。市科技馆开展科技周系列活动助力科区莫力庙胜利学校第十一届校园科技节，全校700余名师生参加。举办第九届“开启智慧之门 探索科技之旅”研学夏令营活动，共42名小学生和8名辅导员参加。组织选派22名师生参加“2022年青少年云上科学营活动”，分别参加中山大学、北京理工大学科普活动。三是开展科技辅导员培训。分别派出12人赴内蒙古科技馆、呼伦贝尔科技馆进行业务学习，内容涵盖接待讲解、教育活动、实验课程、展品维护等方面的成熟模式和成功经验。参加内蒙古科技馆、自然科学博物馆学会组织的线上培训26课时。组织科技辅导员参加内蒙古青少年科技辅导员专业水平认证工作，通过初级青少年科技辅导员认证27人、中级青少年科技辅导员1人。</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4、优化展教资源，增强服务能力。</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通辽市科技馆以实体场馆为依托，以科普大篷车、中国流动科技馆、科普画廊为载体，利用现有展教资源，增强科普服务能力，破解乡村、社区教育滞后、科普人才匮乏的难题，打通“科普服务的最后一公里”。一是大篷车巡展活动。结合科技活动周、全国科普日等大型活动，围绕助力“双减”、乡村振兴等科普工作，科普大篷车走进农村牧区、校园、社区开展活动60余次，发放科普知识宣传手册、图书24000余册，草莓袋500个，播放交通安全短视频20次，总受益人数30000余人次，科普大篷车运行里程数8544公里。二是流动科技馆巡展活动。两套“中国流动科技馆”全年在5个旗县市区巡展6站，共开展320余场活动，受益人数达到47000余人次。三是推进科普画廊制作更新。设计制作更新科普画廊内容85块240延长米7期，分别是“喜迎二十大书画展”1期共85张，蒙汉双语科普挂图5期共112张，内容为“疫情防控科普知识”、“身边科学科普知识”1期30张。</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5、加强新媒体矩阵，推进信息化建设。</w:t>
      </w:r>
    </w:p>
    <w:p>
      <w:pPr>
        <w:pStyle w:val="3"/>
        <w:keepNext w:val="0"/>
        <w:keepLines w:val="0"/>
        <w:widowControl/>
        <w:spacing w:before="299" w:after="299" w:line="240" w:lineRule="auto"/>
        <w:ind w:firstLine="480" w:firstLineChars="200"/>
        <w:jc w:val="left"/>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4"/>
          <w:szCs w:val="24"/>
          <w:lang w:val="en-US" w:eastAsia="zh-CN"/>
        </w:rPr>
        <w:t>通辽市科技馆高度重视信息宣传工作，紧密围绕市科协、市科技馆中心工作，集时事政治、疫情防控、养生常识、馆内要闻等宣传信息为一体，截止12月8日，市科协网信息更新1091条、微信公众号2184条，科技馆微信公众号信息更新 797篇、关注人数24626，官方视频账号播放量达5900余次。其中1-9月获市直科协系统信息宣传第一名。牵头联合市消防救援支队和市公安局开展了线上科普大讲堂直播活动，直播间共计1100余人参与观看，点赞量累计达5500余次，起到了良好的科普宣传效果。开设官方视频账号，播放量达5900余次。</w:t>
      </w:r>
    </w:p>
    <w:p>
      <w:pPr>
        <w:pStyle w:val="3"/>
        <w:keepNext w:val="0"/>
        <w:keepLines w:val="0"/>
        <w:widowControl/>
        <w:spacing w:before="299" w:after="299" w:line="240" w:lineRule="auto"/>
        <w:jc w:val="left"/>
        <w:rPr>
          <w:rFonts w:ascii="Times New Roman" w:hAnsi="Times New Roman"/>
          <w:b w:val="0"/>
          <w:bCs w:val="0"/>
          <w:kern w:val="0"/>
          <w:sz w:val="36"/>
          <w:szCs w:val="36"/>
        </w:rPr>
      </w:pPr>
      <w:r>
        <w:rPr>
          <w:rFonts w:hint="eastAsia" w:ascii="宋体" w:hAnsi="宋体" w:eastAsia="宋体" w:cs="宋体"/>
          <w:b w:val="0"/>
          <w:bCs w:val="0"/>
          <w:kern w:val="0"/>
          <w:sz w:val="36"/>
          <w:szCs w:val="36"/>
        </w:rPr>
        <w:t>二、收入支出预算执行情况分析</w:t>
      </w:r>
    </w:p>
    <w:p>
      <w:pPr>
        <w:pStyle w:val="4"/>
        <w:keepNext w:val="0"/>
        <w:keepLines w:val="0"/>
        <w:widowControl/>
        <w:spacing w:before="281" w:after="281" w:line="240" w:lineRule="auto"/>
        <w:jc w:val="left"/>
        <w:rPr>
          <w:rFonts w:eastAsia="Times New Roman"/>
          <w:kern w:val="0"/>
          <w:sz w:val="28"/>
          <w:szCs w:val="28"/>
        </w:rPr>
      </w:pPr>
      <w:r>
        <w:rPr>
          <w:rFonts w:eastAsia="Times New Roman"/>
          <w:kern w:val="0"/>
          <w:sz w:val="28"/>
          <w:szCs w:val="28"/>
        </w:rPr>
        <w:t xml:space="preserve">        </w:t>
      </w:r>
      <w:r>
        <w:rPr>
          <w:rFonts w:hint="eastAsia" w:ascii="宋体" w:hAnsi="宋体" w:cs="宋体"/>
          <w:kern w:val="0"/>
          <w:sz w:val="28"/>
          <w:szCs w:val="28"/>
        </w:rPr>
        <w:t>（一）收入支出预算安排情况。</w:t>
      </w:r>
    </w:p>
    <w:p>
      <w:pPr>
        <w:widowControl/>
        <w:spacing w:before="240" w:after="240"/>
        <w:ind w:firstLine="480" w:firstLineChars="200"/>
        <w:jc w:val="left"/>
        <w:rPr>
          <w:rFonts w:eastAsia="Times New Roman"/>
          <w:kern w:val="0"/>
          <w:sz w:val="24"/>
        </w:rPr>
      </w:pPr>
      <w:r>
        <w:rPr>
          <w:rFonts w:hint="eastAsia" w:ascii="宋体" w:hAnsi="宋体" w:cs="宋体"/>
          <w:kern w:val="0"/>
          <w:sz w:val="24"/>
        </w:rPr>
        <w:t>包括单位收入、支出年初预算安排情况，与上年对比情况及增减变动原因</w:t>
      </w:r>
      <w:r>
        <w:rPr>
          <w:rFonts w:eastAsia="Times New Roman"/>
          <w:kern w:val="0"/>
          <w:sz w:val="24"/>
        </w:rPr>
        <w:t>(</w:t>
      </w:r>
      <w:r>
        <w:rPr>
          <w:rFonts w:hint="eastAsia" w:ascii="宋体" w:hAnsi="宋体" w:cs="宋体"/>
          <w:kern w:val="0"/>
          <w:sz w:val="24"/>
        </w:rPr>
        <w:t>可用柱形图或折线图</w:t>
      </w:r>
      <w:r>
        <w:rPr>
          <w:rFonts w:eastAsia="Times New Roman"/>
          <w:kern w:val="0"/>
          <w:sz w:val="24"/>
        </w:rPr>
        <w:t>)</w:t>
      </w:r>
    </w:p>
    <w:p>
      <w:pPr>
        <w:widowControl/>
        <w:spacing w:before="240" w:after="240"/>
        <w:jc w:val="left"/>
        <w:rPr>
          <w:rFonts w:eastAsia="Times New Roman"/>
          <w:kern w:val="0"/>
          <w:sz w:val="24"/>
        </w:rPr>
      </w:pPr>
      <w:r>
        <w:rPr>
          <w:rFonts w:eastAsia="Times New Roman"/>
          <w:kern w:val="0"/>
          <w:sz w:val="24"/>
        </w:rPr>
        <w:t xml:space="preserve">      </w:t>
      </w:r>
      <w:r>
        <w:rPr>
          <w:rFonts w:hint="eastAsia" w:ascii="宋体" w:hAnsi="宋体" w:cs="宋体"/>
          <w:kern w:val="0"/>
          <w:sz w:val="24"/>
        </w:rPr>
        <w:t>一般公共预算财政拨款收入</w:t>
      </w:r>
      <w:r>
        <w:rPr>
          <w:rFonts w:eastAsia="Times New Roman"/>
          <w:kern w:val="0"/>
          <w:sz w:val="24"/>
        </w:rPr>
        <w:t>_</w:t>
      </w:r>
      <w:r>
        <w:rPr>
          <w:rFonts w:hint="eastAsia" w:ascii="宋体" w:hAnsi="宋体" w:cs="宋体"/>
          <w:kern w:val="0"/>
          <w:sz w:val="24"/>
        </w:rPr>
        <w:t>年初预算数为：</w:t>
      </w:r>
      <w:r>
        <w:rPr>
          <w:rFonts w:eastAsia="Times New Roman"/>
          <w:kern w:val="0"/>
          <w:sz w:val="24"/>
        </w:rPr>
        <w:t>3,486,293.69</w:t>
      </w:r>
      <w:r>
        <w:rPr>
          <w:rFonts w:hint="eastAsia" w:ascii="宋体" w:hAnsi="宋体" w:cs="宋体"/>
          <w:kern w:val="0"/>
          <w:sz w:val="24"/>
        </w:rPr>
        <w:t>元，一般公共预算财政拨款收入</w:t>
      </w:r>
      <w:r>
        <w:rPr>
          <w:rFonts w:eastAsia="Times New Roman"/>
          <w:kern w:val="0"/>
          <w:sz w:val="24"/>
        </w:rPr>
        <w:t>_</w:t>
      </w:r>
      <w:r>
        <w:rPr>
          <w:rFonts w:hint="eastAsia" w:ascii="宋体" w:hAnsi="宋体" w:cs="宋体"/>
          <w:kern w:val="0"/>
          <w:sz w:val="24"/>
        </w:rPr>
        <w:t>决算数为：</w:t>
      </w:r>
      <w:r>
        <w:rPr>
          <w:rFonts w:eastAsia="Times New Roman"/>
          <w:kern w:val="0"/>
          <w:sz w:val="24"/>
        </w:rPr>
        <w:t>13,779,925.73</w:t>
      </w:r>
      <w:r>
        <w:rPr>
          <w:rFonts w:hint="eastAsia" w:ascii="宋体" w:hAnsi="宋体" w:cs="宋体"/>
          <w:kern w:val="0"/>
          <w:sz w:val="24"/>
        </w:rPr>
        <w:t>元，基本支出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3,006,293.69</w:t>
      </w:r>
      <w:r>
        <w:rPr>
          <w:rFonts w:hint="eastAsia" w:ascii="宋体" w:hAnsi="宋体" w:cs="宋体"/>
          <w:kern w:val="0"/>
          <w:sz w:val="24"/>
        </w:rPr>
        <w:t>元，基本支出</w:t>
      </w:r>
      <w:r>
        <w:rPr>
          <w:rFonts w:eastAsia="Times New Roman"/>
          <w:kern w:val="0"/>
          <w:sz w:val="24"/>
        </w:rPr>
        <w:t>_</w:t>
      </w:r>
      <w:r>
        <w:rPr>
          <w:rFonts w:hint="eastAsia" w:ascii="宋体" w:hAnsi="宋体" w:cs="宋体"/>
          <w:kern w:val="0"/>
          <w:sz w:val="24"/>
        </w:rPr>
        <w:t>决算数为：</w:t>
      </w:r>
      <w:r>
        <w:rPr>
          <w:rFonts w:eastAsia="Times New Roman"/>
          <w:kern w:val="0"/>
          <w:sz w:val="24"/>
        </w:rPr>
        <w:t>4,061,169.05</w:t>
      </w:r>
      <w:r>
        <w:rPr>
          <w:rFonts w:hint="eastAsia" w:ascii="宋体" w:hAnsi="宋体" w:cs="宋体"/>
          <w:kern w:val="0"/>
          <w:sz w:val="24"/>
        </w:rPr>
        <w:t>元，政府性基金预算财政拨款收入</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元，政府性基金预算财政拨款收入</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元，本年收入合计</w:t>
      </w:r>
      <w:r>
        <w:rPr>
          <w:rFonts w:eastAsia="Times New Roman"/>
          <w:kern w:val="0"/>
          <w:sz w:val="24"/>
        </w:rPr>
        <w:t>_</w:t>
      </w:r>
      <w:r>
        <w:rPr>
          <w:rFonts w:hint="eastAsia" w:ascii="宋体" w:hAnsi="宋体" w:cs="宋体"/>
          <w:kern w:val="0"/>
          <w:sz w:val="24"/>
        </w:rPr>
        <w:t>年初预算数为：</w:t>
      </w:r>
      <w:r>
        <w:rPr>
          <w:rFonts w:eastAsia="Times New Roman"/>
          <w:kern w:val="0"/>
          <w:sz w:val="24"/>
        </w:rPr>
        <w:t>3,486,293.69</w:t>
      </w:r>
      <w:r>
        <w:rPr>
          <w:rFonts w:hint="eastAsia" w:ascii="宋体" w:hAnsi="宋体" w:cs="宋体"/>
          <w:kern w:val="0"/>
          <w:sz w:val="24"/>
        </w:rPr>
        <w:t>元，本年收入合计</w:t>
      </w:r>
      <w:r>
        <w:rPr>
          <w:rFonts w:eastAsia="Times New Roman"/>
          <w:kern w:val="0"/>
          <w:sz w:val="24"/>
        </w:rPr>
        <w:t>__</w:t>
      </w:r>
      <w:r>
        <w:rPr>
          <w:rFonts w:hint="eastAsia" w:ascii="宋体" w:hAnsi="宋体" w:cs="宋体"/>
          <w:kern w:val="0"/>
          <w:sz w:val="24"/>
        </w:rPr>
        <w:t>决算数为：</w:t>
      </w:r>
      <w:r>
        <w:rPr>
          <w:rFonts w:eastAsia="Times New Roman"/>
          <w:kern w:val="0"/>
          <w:sz w:val="24"/>
        </w:rPr>
        <w:t>13,779,925.73</w:t>
      </w:r>
      <w:r>
        <w:rPr>
          <w:rFonts w:hint="eastAsia" w:ascii="宋体" w:hAnsi="宋体" w:cs="宋体"/>
          <w:kern w:val="0"/>
          <w:sz w:val="24"/>
        </w:rPr>
        <w:t>元，本年支出合计</w:t>
      </w:r>
      <w:r>
        <w:rPr>
          <w:rFonts w:eastAsia="Times New Roman"/>
          <w:kern w:val="0"/>
          <w:sz w:val="24"/>
        </w:rPr>
        <w:t>_</w:t>
      </w:r>
      <w:r>
        <w:rPr>
          <w:rFonts w:hint="eastAsia" w:ascii="宋体" w:hAnsi="宋体" w:cs="宋体"/>
          <w:kern w:val="0"/>
          <w:sz w:val="24"/>
        </w:rPr>
        <w:t>年初预算数为：收入支出决算总表</w:t>
      </w:r>
      <w:r>
        <w:rPr>
          <w:rFonts w:eastAsia="Times New Roman"/>
          <w:kern w:val="0"/>
          <w:sz w:val="24"/>
        </w:rPr>
        <w:t>-</w:t>
      </w:r>
      <w:r>
        <w:rPr>
          <w:rFonts w:hint="eastAsia" w:ascii="宋体" w:hAnsi="宋体" w:cs="宋体"/>
          <w:kern w:val="0"/>
          <w:sz w:val="24"/>
        </w:rPr>
        <w:t>本年支出合计</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w:t>
      </w:r>
      <w:r>
        <w:rPr>
          <w:rFonts w:ascii="宋体" w:hAnsi="宋体" w:cs="宋体"/>
          <w:kern w:val="0"/>
          <w:sz w:val="24"/>
        </w:rPr>
        <w:t>3516293.69</w:t>
      </w:r>
      <w:r>
        <w:rPr>
          <w:rFonts w:hint="eastAsia" w:ascii="宋体" w:hAnsi="宋体" w:cs="宋体"/>
          <w:kern w:val="0"/>
          <w:sz w:val="24"/>
        </w:rPr>
        <w:t>元，本年支出合计</w:t>
      </w:r>
      <w:r>
        <w:rPr>
          <w:rFonts w:eastAsia="Times New Roman"/>
          <w:kern w:val="0"/>
          <w:sz w:val="24"/>
        </w:rPr>
        <w:t>_</w:t>
      </w:r>
      <w:r>
        <w:rPr>
          <w:rFonts w:hint="eastAsia" w:ascii="宋体" w:hAnsi="宋体" w:cs="宋体"/>
          <w:kern w:val="0"/>
          <w:sz w:val="24"/>
        </w:rPr>
        <w:t>决算数为：</w:t>
      </w:r>
      <w:r>
        <w:rPr>
          <w:rFonts w:ascii="宋体" w:hAnsi="宋体" w:cs="宋体"/>
          <w:kern w:val="0"/>
          <w:sz w:val="24"/>
        </w:rPr>
        <w:t>13809925.73</w:t>
      </w:r>
      <w:r>
        <w:rPr>
          <w:rFonts w:hint="eastAsia" w:ascii="宋体" w:hAnsi="宋体" w:cs="宋体"/>
          <w:kern w:val="0"/>
          <w:sz w:val="24"/>
        </w:rPr>
        <w:t>元，收入支出决算总表</w:t>
      </w:r>
      <w:r>
        <w:rPr>
          <w:rFonts w:eastAsia="Times New Roman"/>
          <w:kern w:val="0"/>
          <w:sz w:val="24"/>
        </w:rPr>
        <w:t>-</w:t>
      </w:r>
      <w:r>
        <w:rPr>
          <w:rFonts w:hint="eastAsia" w:ascii="宋体" w:hAnsi="宋体" w:cs="宋体"/>
          <w:kern w:val="0"/>
          <w:sz w:val="24"/>
        </w:rPr>
        <w:t>本年支出合计</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w:t>
      </w:r>
      <w:r>
        <w:rPr>
          <w:rFonts w:ascii="宋体" w:hAnsi="宋体" w:cs="宋体"/>
          <w:kern w:val="0"/>
          <w:sz w:val="24"/>
        </w:rPr>
        <w:t>13809925.73</w:t>
      </w:r>
      <w:r>
        <w:rPr>
          <w:rFonts w:hint="eastAsia" w:ascii="宋体" w:hAnsi="宋体" w:cs="宋体"/>
          <w:kern w:val="0"/>
          <w:sz w:val="24"/>
        </w:rPr>
        <w:t>元，年末结转和结余</w:t>
      </w:r>
      <w:r>
        <w:rPr>
          <w:rFonts w:eastAsia="Times New Roman"/>
          <w:kern w:val="0"/>
          <w:sz w:val="24"/>
        </w:rPr>
        <w:t>_</w:t>
      </w:r>
      <w:r>
        <w:rPr>
          <w:rFonts w:hint="eastAsia" w:ascii="宋体" w:hAnsi="宋体" w:cs="宋体"/>
          <w:kern w:val="0"/>
          <w:sz w:val="24"/>
        </w:rPr>
        <w:t>决算数为：</w:t>
      </w:r>
      <w:r>
        <w:rPr>
          <w:rFonts w:ascii="宋体" w:cs="宋体"/>
          <w:kern w:val="0"/>
          <w:sz w:val="24"/>
        </w:rPr>
        <w:t>0</w:t>
      </w:r>
      <w:r>
        <w:rPr>
          <w:rFonts w:hint="eastAsia" w:ascii="宋体" w:hAnsi="宋体" w:cs="宋体"/>
          <w:kern w:val="0"/>
          <w:sz w:val="24"/>
        </w:rPr>
        <w:t>元，收入支出决算总表</w:t>
      </w:r>
      <w:r>
        <w:rPr>
          <w:rFonts w:eastAsia="Times New Roman"/>
          <w:kern w:val="0"/>
          <w:sz w:val="24"/>
        </w:rPr>
        <w:t>-</w:t>
      </w:r>
      <w:r>
        <w:rPr>
          <w:rFonts w:hint="eastAsia" w:ascii="宋体" w:hAnsi="宋体" w:cs="宋体"/>
          <w:kern w:val="0"/>
          <w:sz w:val="24"/>
        </w:rPr>
        <w:t>年末结转和结余</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w:t>
      </w:r>
      <w:r>
        <w:rPr>
          <w:rFonts w:ascii="宋体" w:cs="宋体"/>
          <w:kern w:val="0"/>
          <w:sz w:val="24"/>
        </w:rPr>
        <w:t>0</w:t>
      </w:r>
      <w:r>
        <w:rPr>
          <w:rFonts w:hint="eastAsia" w:ascii="宋体" w:hAnsi="宋体" w:cs="宋体"/>
          <w:kern w:val="0"/>
          <w:sz w:val="24"/>
        </w:rPr>
        <w:t>元。</w:t>
      </w:r>
    </w:p>
    <w:p>
      <w:pPr>
        <w:widowControl/>
        <w:spacing w:before="240" w:after="240"/>
        <w:ind w:firstLine="480" w:firstLineChars="200"/>
        <w:jc w:val="left"/>
        <w:rPr>
          <w:rFonts w:eastAsia="Times New Roman"/>
          <w:kern w:val="0"/>
          <w:sz w:val="24"/>
        </w:rPr>
      </w:pPr>
      <w:r>
        <w:rPr>
          <w:rFonts w:hint="eastAsia" w:ascii="宋体" w:hAnsi="宋体" w:cs="宋体"/>
          <w:kern w:val="0"/>
          <w:sz w:val="24"/>
        </w:rPr>
        <w:t>一般公共服务支出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元，般公共服务支出</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元，人员经费</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2,876,293.69</w:t>
      </w:r>
      <w:r>
        <w:rPr>
          <w:rFonts w:hint="eastAsia" w:ascii="宋体" w:hAnsi="宋体" w:cs="宋体"/>
          <w:kern w:val="0"/>
          <w:sz w:val="24"/>
        </w:rPr>
        <w:t>元，人员经费</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3,952,842.78</w:t>
      </w:r>
      <w:r>
        <w:rPr>
          <w:rFonts w:hint="eastAsia" w:ascii="宋体" w:hAnsi="宋体" w:cs="宋体"/>
          <w:kern w:val="0"/>
          <w:sz w:val="24"/>
        </w:rPr>
        <w:t>元，公共安全支出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元，公共安全支出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元，项目支出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480000</w:t>
      </w:r>
      <w:r>
        <w:rPr>
          <w:rFonts w:hint="eastAsia" w:ascii="宋体" w:hAnsi="宋体" w:cs="宋体"/>
          <w:kern w:val="0"/>
          <w:sz w:val="24"/>
        </w:rPr>
        <w:t>元，项目支出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9,748,756.68</w:t>
      </w:r>
      <w:r>
        <w:rPr>
          <w:rFonts w:hint="eastAsia" w:ascii="宋体" w:hAnsi="宋体" w:cs="宋体"/>
          <w:kern w:val="0"/>
          <w:sz w:val="24"/>
        </w:rPr>
        <w:t>元，事业收入</w:t>
      </w:r>
      <w:r>
        <w:rPr>
          <w:rFonts w:eastAsia="Times New Roman"/>
          <w:kern w:val="0"/>
          <w:sz w:val="24"/>
        </w:rPr>
        <w:t>_</w:t>
      </w:r>
      <w:r>
        <w:rPr>
          <w:rFonts w:hint="eastAsia" w:ascii="宋体" w:hAnsi="宋体" w:cs="宋体"/>
          <w:kern w:val="0"/>
          <w:sz w:val="24"/>
        </w:rPr>
        <w:t>收入</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元，事业收入</w:t>
      </w:r>
      <w:r>
        <w:rPr>
          <w:rFonts w:eastAsia="Times New Roman"/>
          <w:kern w:val="0"/>
          <w:sz w:val="24"/>
        </w:rPr>
        <w:t>_</w:t>
      </w:r>
      <w:r>
        <w:rPr>
          <w:rFonts w:hint="eastAsia" w:ascii="宋体" w:hAnsi="宋体" w:cs="宋体"/>
          <w:kern w:val="0"/>
          <w:sz w:val="24"/>
        </w:rPr>
        <w:t>收入</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元，教育支出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元，教育支出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元，文化旅游体育与传媒支出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元，文化旅游体育与传媒支出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元，社会保障和就业支出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519,285.33</w:t>
      </w:r>
      <w:r>
        <w:rPr>
          <w:rFonts w:hint="eastAsia" w:ascii="宋体" w:hAnsi="宋体" w:cs="宋体"/>
          <w:kern w:val="0"/>
          <w:sz w:val="24"/>
        </w:rPr>
        <w:t>元，社会保障和就业支出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442,055.57</w:t>
      </w:r>
      <w:r>
        <w:rPr>
          <w:rFonts w:hint="eastAsia" w:ascii="宋体" w:hAnsi="宋体" w:cs="宋体"/>
          <w:kern w:val="0"/>
          <w:sz w:val="24"/>
        </w:rPr>
        <w:t>元，卫生健康支出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177,634.44</w:t>
      </w:r>
      <w:r>
        <w:rPr>
          <w:rFonts w:hint="eastAsia" w:ascii="宋体" w:hAnsi="宋体" w:cs="宋体"/>
          <w:kern w:val="0"/>
          <w:sz w:val="24"/>
        </w:rPr>
        <w:t>元，卫生健康支出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233,751.42</w:t>
      </w:r>
      <w:r>
        <w:rPr>
          <w:rFonts w:hint="eastAsia" w:ascii="宋体" w:hAnsi="宋体" w:cs="宋体"/>
          <w:kern w:val="0"/>
          <w:sz w:val="24"/>
        </w:rPr>
        <w:t>元，城乡社区支出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年初预算数为：</w:t>
      </w:r>
      <w:r>
        <w:rPr>
          <w:rFonts w:eastAsia="Times New Roman"/>
          <w:kern w:val="0"/>
          <w:sz w:val="24"/>
        </w:rPr>
        <w:t>0</w:t>
      </w:r>
      <w:r>
        <w:rPr>
          <w:rFonts w:hint="eastAsia" w:ascii="宋体" w:hAnsi="宋体" w:cs="宋体"/>
          <w:kern w:val="0"/>
          <w:sz w:val="24"/>
        </w:rPr>
        <w:t>元，城乡社区支出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工资福利支出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3,952,842.78</w:t>
      </w:r>
      <w:r>
        <w:rPr>
          <w:rFonts w:hint="eastAsia" w:ascii="宋体" w:hAnsi="宋体" w:cs="宋体"/>
          <w:kern w:val="0"/>
          <w:sz w:val="24"/>
        </w:rPr>
        <w:t>元，商品和服务支出</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897,582.95</w:t>
      </w:r>
      <w:r>
        <w:rPr>
          <w:rFonts w:hint="eastAsia" w:ascii="宋体" w:hAnsi="宋体" w:cs="宋体"/>
          <w:kern w:val="0"/>
          <w:sz w:val="24"/>
        </w:rPr>
        <w:t>元，对个人和家庭的补助</w:t>
      </w:r>
      <w:r>
        <w:rPr>
          <w:rFonts w:eastAsia="Times New Roman"/>
          <w:kern w:val="0"/>
          <w:sz w:val="24"/>
        </w:rPr>
        <w:t>_</w:t>
      </w:r>
      <w:r>
        <w:rPr>
          <w:rFonts w:hint="eastAsia" w:ascii="宋体" w:hAnsi="宋体" w:cs="宋体"/>
          <w:kern w:val="0"/>
          <w:sz w:val="24"/>
        </w:rPr>
        <w:t>支出</w:t>
      </w:r>
      <w:r>
        <w:rPr>
          <w:rFonts w:eastAsia="Times New Roman"/>
          <w:kern w:val="0"/>
          <w:sz w:val="24"/>
        </w:rPr>
        <w:t>_</w:t>
      </w:r>
      <w:r>
        <w:rPr>
          <w:rFonts w:hint="eastAsia" w:ascii="宋体" w:hAnsi="宋体" w:cs="宋体"/>
          <w:kern w:val="0"/>
          <w:sz w:val="24"/>
        </w:rPr>
        <w:t>决算数为：</w:t>
      </w:r>
      <w:r>
        <w:rPr>
          <w:rFonts w:eastAsia="Times New Roman"/>
          <w:kern w:val="0"/>
          <w:sz w:val="24"/>
        </w:rPr>
        <w:t>0</w:t>
      </w:r>
      <w:r>
        <w:rPr>
          <w:rFonts w:hint="eastAsia" w:ascii="宋体" w:hAnsi="宋体" w:cs="宋体"/>
          <w:kern w:val="0"/>
          <w:sz w:val="24"/>
        </w:rPr>
        <w:t>元。</w:t>
      </w:r>
    </w:p>
    <w:p>
      <w:pPr>
        <w:pStyle w:val="4"/>
        <w:keepNext w:val="0"/>
        <w:keepLines w:val="0"/>
        <w:widowControl/>
        <w:spacing w:before="281" w:after="281" w:line="240" w:lineRule="auto"/>
        <w:jc w:val="left"/>
        <w:rPr>
          <w:rFonts w:eastAsia="Times New Roman"/>
          <w:kern w:val="0"/>
          <w:sz w:val="28"/>
          <w:szCs w:val="28"/>
        </w:rPr>
      </w:pPr>
      <w:r>
        <w:rPr>
          <w:rFonts w:hint="eastAsia" w:ascii="宋体" w:hAnsi="宋体" w:cs="宋体"/>
          <w:kern w:val="0"/>
          <w:sz w:val="28"/>
          <w:szCs w:val="28"/>
        </w:rPr>
        <w:t>（二）收入支出预算执行情况。</w:t>
      </w:r>
    </w:p>
    <w:p>
      <w:pPr>
        <w:widowControl/>
        <w:spacing w:before="240" w:after="240"/>
        <w:ind w:firstLine="480" w:firstLineChars="200"/>
        <w:jc w:val="left"/>
        <w:rPr>
          <w:rFonts w:eastAsia="Times New Roman"/>
          <w:kern w:val="0"/>
          <w:sz w:val="24"/>
        </w:rPr>
      </w:pPr>
      <w:r>
        <w:rPr>
          <w:rFonts w:hint="eastAsia" w:ascii="宋体" w:hAnsi="宋体" w:cs="宋体"/>
          <w:kern w:val="0"/>
          <w:sz w:val="24"/>
        </w:rPr>
        <w:t>当年收入支出预算执行基本情况，与上年度对比情况，包括增减绝对值与幅度，增减变动主要原因</w:t>
      </w:r>
      <w:r>
        <w:rPr>
          <w:rFonts w:eastAsia="Times New Roman"/>
          <w:kern w:val="0"/>
          <w:sz w:val="24"/>
        </w:rPr>
        <w:t>(</w:t>
      </w:r>
      <w:r>
        <w:rPr>
          <w:rFonts w:hint="eastAsia" w:ascii="宋体" w:hAnsi="宋体" w:cs="宋体"/>
          <w:kern w:val="0"/>
          <w:sz w:val="24"/>
        </w:rPr>
        <w:t>可用柱形图或折线图</w:t>
      </w:r>
      <w:r>
        <w:rPr>
          <w:rFonts w:eastAsia="Times New Roman"/>
          <w:kern w:val="0"/>
          <w:sz w:val="24"/>
        </w:rPr>
        <w:t>)</w:t>
      </w:r>
      <w:r>
        <w:rPr>
          <w:rFonts w:hint="eastAsia" w:ascii="宋体" w:hAnsi="宋体" w:cs="宋体"/>
          <w:kern w:val="0"/>
          <w:sz w:val="24"/>
        </w:rPr>
        <w:t>。</w:t>
      </w:r>
      <w:r>
        <w:rPr>
          <w:rFonts w:eastAsia="Times New Roman"/>
          <w:kern w:val="0"/>
          <w:sz w:val="24"/>
        </w:rPr>
        <w:t>   </w:t>
      </w:r>
    </w:p>
    <w:p>
      <w:pPr>
        <w:widowControl/>
        <w:numPr>
          <w:ilvl w:val="0"/>
          <w:numId w:val="1"/>
        </w:numPr>
        <w:spacing w:before="240" w:after="240"/>
        <w:ind w:firstLine="480" w:firstLineChars="200"/>
        <w:jc w:val="left"/>
        <w:rPr>
          <w:rFonts w:ascii="宋体" w:cs="宋体"/>
          <w:kern w:val="0"/>
          <w:sz w:val="24"/>
        </w:rPr>
      </w:pPr>
      <w:r>
        <w:rPr>
          <w:rFonts w:hint="eastAsia" w:ascii="宋体" w:hAnsi="宋体" w:cs="宋体"/>
          <w:kern w:val="0"/>
          <w:sz w:val="24"/>
        </w:rPr>
        <w:t>收入支出与预算对比分析。</w:t>
      </w:r>
    </w:p>
    <w:tbl>
      <w:tblPr>
        <w:tblStyle w:val="21"/>
        <w:tblpPr w:leftFromText="180" w:rightFromText="180" w:vertAnchor="text" w:horzAnchor="page" w:tblpX="1793" w:tblpY="911"/>
        <w:tblOverlap w:val="never"/>
        <w:tblW w:w="9033" w:type="dxa"/>
        <w:tblInd w:w="0" w:type="dxa"/>
        <w:tblLayout w:type="fixed"/>
        <w:tblCellMar>
          <w:top w:w="0" w:type="dxa"/>
          <w:left w:w="108" w:type="dxa"/>
          <w:bottom w:w="0" w:type="dxa"/>
          <w:right w:w="108" w:type="dxa"/>
        </w:tblCellMar>
      </w:tblPr>
      <w:tblGrid>
        <w:gridCol w:w="945"/>
        <w:gridCol w:w="2216"/>
        <w:gridCol w:w="1147"/>
        <w:gridCol w:w="1470"/>
        <w:gridCol w:w="557"/>
        <w:gridCol w:w="695"/>
        <w:gridCol w:w="1323"/>
        <w:gridCol w:w="680"/>
      </w:tblGrid>
      <w:tr>
        <w:tblPrEx>
          <w:tblLayout w:type="fixed"/>
          <w:tblCellMar>
            <w:top w:w="0" w:type="dxa"/>
            <w:left w:w="108" w:type="dxa"/>
            <w:bottom w:w="0" w:type="dxa"/>
            <w:right w:w="108" w:type="dxa"/>
          </w:tblCellMar>
        </w:tblPrEx>
        <w:trPr>
          <w:trHeight w:val="390" w:hRule="atLeast"/>
        </w:trPr>
        <w:tc>
          <w:tcPr>
            <w:tcW w:w="6335" w:type="dxa"/>
            <w:gridSpan w:val="5"/>
            <w:tcBorders>
              <w:top w:val="nil"/>
              <w:left w:val="nil"/>
              <w:bottom w:val="nil"/>
              <w:right w:val="nil"/>
            </w:tcBorders>
            <w:vAlign w:val="center"/>
          </w:tcPr>
          <w:p>
            <w:pPr>
              <w:widowControl/>
              <w:jc w:val="center"/>
              <w:textAlignment w:val="center"/>
              <w:rPr>
                <w:rFonts w:ascii="宋体" w:cs="宋体"/>
                <w:b/>
                <w:bCs/>
                <w:color w:val="000000"/>
                <w:sz w:val="28"/>
                <w:szCs w:val="28"/>
              </w:rPr>
            </w:pPr>
            <w:r>
              <w:rPr>
                <w:rFonts w:hint="eastAsia" w:ascii="宋体" w:hAnsi="宋体" w:cs="宋体"/>
                <w:b/>
                <w:bCs/>
                <w:color w:val="000000"/>
                <w:kern w:val="0"/>
                <w:sz w:val="28"/>
                <w:szCs w:val="28"/>
              </w:rPr>
              <w:t>收入支出与预算对比分析表</w:t>
            </w:r>
          </w:p>
        </w:tc>
        <w:tc>
          <w:tcPr>
            <w:tcW w:w="2018" w:type="dxa"/>
            <w:gridSpan w:val="2"/>
            <w:tcBorders>
              <w:top w:val="nil"/>
              <w:left w:val="nil"/>
              <w:bottom w:val="nil"/>
              <w:right w:val="nil"/>
            </w:tcBorders>
            <w:vAlign w:val="bottom"/>
          </w:tcPr>
          <w:p>
            <w:pPr>
              <w:widowControl/>
              <w:jc w:val="center"/>
              <w:textAlignment w:val="center"/>
              <w:rPr>
                <w:rFonts w:ascii="宋体" w:cs="宋体"/>
                <w:b/>
                <w:bCs/>
                <w:color w:val="000000"/>
                <w:kern w:val="0"/>
                <w:sz w:val="28"/>
                <w:szCs w:val="28"/>
              </w:rPr>
            </w:pPr>
          </w:p>
        </w:tc>
        <w:tc>
          <w:tcPr>
            <w:tcW w:w="680" w:type="dxa"/>
            <w:tcBorders>
              <w:top w:val="nil"/>
              <w:left w:val="nil"/>
              <w:bottom w:val="nil"/>
              <w:right w:val="nil"/>
            </w:tcBorders>
            <w:vAlign w:val="bottom"/>
          </w:tcPr>
          <w:p>
            <w:pPr>
              <w:rPr>
                <w:rFonts w:ascii="Arial" w:hAnsi="Arial" w:cs="Arial"/>
                <w:color w:val="000000"/>
                <w:sz w:val="20"/>
                <w:szCs w:val="20"/>
              </w:rPr>
            </w:pPr>
          </w:p>
        </w:tc>
      </w:tr>
      <w:tr>
        <w:tblPrEx>
          <w:tblLayout w:type="fixed"/>
          <w:tblCellMar>
            <w:top w:w="0" w:type="dxa"/>
            <w:left w:w="108" w:type="dxa"/>
            <w:bottom w:w="0" w:type="dxa"/>
            <w:right w:w="108" w:type="dxa"/>
          </w:tblCellMar>
        </w:tblPrEx>
        <w:trPr>
          <w:trHeight w:val="360" w:hRule="atLeast"/>
        </w:trPr>
        <w:tc>
          <w:tcPr>
            <w:tcW w:w="945"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科目编号</w:t>
            </w:r>
          </w:p>
        </w:tc>
        <w:tc>
          <w:tcPr>
            <w:tcW w:w="2216" w:type="dxa"/>
            <w:vMerge w:val="restart"/>
            <w:tcBorders>
              <w:top w:val="single" w:color="000000" w:sz="8" w:space="0"/>
              <w:left w:val="nil"/>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功能科目名称</w:t>
            </w:r>
          </w:p>
        </w:tc>
        <w:tc>
          <w:tcPr>
            <w:tcW w:w="1147" w:type="dxa"/>
            <w:vMerge w:val="restart"/>
            <w:tcBorders>
              <w:top w:val="single" w:color="000000" w:sz="8" w:space="0"/>
              <w:left w:val="nil"/>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年初预算（元）</w:t>
            </w:r>
          </w:p>
        </w:tc>
        <w:tc>
          <w:tcPr>
            <w:tcW w:w="1470" w:type="dxa"/>
            <w:vMerge w:val="restart"/>
            <w:tcBorders>
              <w:top w:val="single" w:color="000000" w:sz="8" w:space="0"/>
              <w:left w:val="nil"/>
              <w:right w:val="single" w:color="000000" w:sz="8" w:space="0"/>
            </w:tcBorders>
            <w:vAlign w:val="center"/>
          </w:tcPr>
          <w:p>
            <w:pPr>
              <w:widowControl/>
              <w:jc w:val="center"/>
              <w:textAlignment w:val="center"/>
              <w:rPr>
                <w:rFonts w:ascii="宋体" w:cs="宋体"/>
                <w:color w:val="000000"/>
                <w:kern w:val="0"/>
                <w:sz w:val="18"/>
                <w:szCs w:val="18"/>
              </w:rPr>
            </w:pPr>
            <w:r>
              <w:rPr>
                <w:rFonts w:hint="eastAsia" w:ascii="宋体" w:hAnsi="宋体" w:cs="宋体"/>
                <w:color w:val="000000"/>
                <w:kern w:val="0"/>
                <w:sz w:val="18"/>
                <w:szCs w:val="18"/>
              </w:rPr>
              <w:t>全年预算（元）</w:t>
            </w:r>
          </w:p>
        </w:tc>
        <w:tc>
          <w:tcPr>
            <w:tcW w:w="2575" w:type="dxa"/>
            <w:gridSpan w:val="3"/>
            <w:tcBorders>
              <w:top w:val="single" w:color="000000" w:sz="8" w:space="0"/>
              <w:left w:val="nil"/>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决算</w:t>
            </w:r>
          </w:p>
        </w:tc>
        <w:tc>
          <w:tcPr>
            <w:tcW w:w="680" w:type="dxa"/>
            <w:vMerge w:val="restart"/>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cs="宋体"/>
                <w:color w:val="000000"/>
                <w:sz w:val="20"/>
                <w:szCs w:val="20"/>
              </w:rPr>
            </w:pPr>
            <w:r>
              <w:rPr>
                <w:rFonts w:hint="eastAsia" w:ascii="宋体" w:hAnsi="宋体" w:cs="宋体"/>
                <w:color w:val="000000"/>
                <w:kern w:val="0"/>
                <w:sz w:val="20"/>
                <w:szCs w:val="20"/>
              </w:rPr>
              <w:t>结转结余</w:t>
            </w:r>
          </w:p>
        </w:tc>
      </w:tr>
      <w:tr>
        <w:tblPrEx>
          <w:tblLayout w:type="fixed"/>
          <w:tblCellMar>
            <w:top w:w="0" w:type="dxa"/>
            <w:left w:w="108" w:type="dxa"/>
            <w:bottom w:w="0" w:type="dxa"/>
            <w:right w:w="108" w:type="dxa"/>
          </w:tblCellMar>
        </w:tblPrEx>
        <w:trPr>
          <w:trHeight w:val="456" w:hRule="atLeast"/>
        </w:trPr>
        <w:tc>
          <w:tcPr>
            <w:tcW w:w="945"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cs="宋体"/>
                <w:color w:val="000000"/>
                <w:sz w:val="18"/>
                <w:szCs w:val="18"/>
              </w:rPr>
            </w:pPr>
          </w:p>
        </w:tc>
        <w:tc>
          <w:tcPr>
            <w:tcW w:w="2216" w:type="dxa"/>
            <w:vMerge w:val="continue"/>
            <w:tcBorders>
              <w:top w:val="single" w:color="000000" w:sz="8" w:space="0"/>
              <w:left w:val="nil"/>
              <w:bottom w:val="single" w:color="000000" w:sz="8" w:space="0"/>
              <w:right w:val="single" w:color="000000" w:sz="8" w:space="0"/>
            </w:tcBorders>
            <w:vAlign w:val="center"/>
          </w:tcPr>
          <w:p>
            <w:pPr>
              <w:jc w:val="center"/>
              <w:rPr>
                <w:rFonts w:ascii="宋体" w:cs="宋体"/>
                <w:color w:val="000000"/>
                <w:sz w:val="18"/>
                <w:szCs w:val="18"/>
              </w:rPr>
            </w:pPr>
          </w:p>
        </w:tc>
        <w:tc>
          <w:tcPr>
            <w:tcW w:w="1147" w:type="dxa"/>
            <w:vMerge w:val="continue"/>
            <w:tcBorders>
              <w:top w:val="single" w:color="000000" w:sz="8" w:space="0"/>
              <w:left w:val="nil"/>
              <w:bottom w:val="single" w:color="000000" w:sz="8" w:space="0"/>
              <w:right w:val="single" w:color="000000" w:sz="8" w:space="0"/>
            </w:tcBorders>
            <w:vAlign w:val="center"/>
          </w:tcPr>
          <w:p>
            <w:pPr>
              <w:jc w:val="center"/>
              <w:rPr>
                <w:rFonts w:ascii="宋体" w:cs="宋体"/>
                <w:color w:val="000000"/>
                <w:sz w:val="18"/>
                <w:szCs w:val="18"/>
              </w:rPr>
            </w:pPr>
          </w:p>
        </w:tc>
        <w:tc>
          <w:tcPr>
            <w:tcW w:w="1470" w:type="dxa"/>
            <w:vMerge w:val="continue"/>
            <w:tcBorders>
              <w:left w:val="nil"/>
              <w:bottom w:val="single" w:color="000000" w:sz="8" w:space="0"/>
              <w:right w:val="single" w:color="000000" w:sz="8" w:space="0"/>
            </w:tcBorders>
            <w:vAlign w:val="center"/>
          </w:tcPr>
          <w:p>
            <w:pPr>
              <w:jc w:val="center"/>
              <w:rPr>
                <w:rFonts w:ascii="宋体" w:cs="宋体"/>
                <w:color w:val="000000"/>
                <w:sz w:val="18"/>
                <w:szCs w:val="18"/>
              </w:rPr>
            </w:pPr>
          </w:p>
        </w:tc>
        <w:tc>
          <w:tcPr>
            <w:tcW w:w="1252" w:type="dxa"/>
            <w:gridSpan w:val="2"/>
            <w:tcBorders>
              <w:top w:val="nil"/>
              <w:left w:val="nil"/>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收入（元）</w:t>
            </w:r>
          </w:p>
        </w:tc>
        <w:tc>
          <w:tcPr>
            <w:tcW w:w="1323" w:type="dxa"/>
            <w:tcBorders>
              <w:top w:val="single" w:color="000000" w:sz="8" w:space="0"/>
              <w:left w:val="nil"/>
              <w:bottom w:val="single" w:color="000000" w:sz="8" w:space="0"/>
              <w:right w:val="nil"/>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支出（元）</w:t>
            </w:r>
          </w:p>
        </w:tc>
        <w:tc>
          <w:tcPr>
            <w:tcW w:w="68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cs="宋体"/>
                <w:color w:val="000000"/>
                <w:sz w:val="20"/>
                <w:szCs w:val="20"/>
              </w:rPr>
            </w:pP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2060702</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科普活动</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510000</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sz w:val="18"/>
                <w:szCs w:val="18"/>
              </w:rPr>
              <w:t>2118756.68</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2118756.68</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sz w:val="18"/>
                <w:szCs w:val="18"/>
              </w:rPr>
              <w:t>2118756.68</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2060705</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科技馆站</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2072528</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hAnsi="宋体" w:cs="宋体"/>
                <w:color w:val="000000"/>
                <w:kern w:val="0"/>
                <w:sz w:val="18"/>
                <w:szCs w:val="18"/>
              </w:rPr>
              <w:t>10701901.3</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hAnsi="宋体" w:cs="宋体"/>
                <w:color w:val="000000"/>
                <w:kern w:val="0"/>
                <w:sz w:val="18"/>
                <w:szCs w:val="18"/>
              </w:rPr>
              <w:t>10701901.3</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hAnsi="宋体" w:cs="宋体"/>
                <w:color w:val="000000"/>
                <w:kern w:val="0"/>
                <w:sz w:val="18"/>
                <w:szCs w:val="18"/>
              </w:rPr>
              <w:t>10701901.3</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20805</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行政事业单位养老支出</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473691.84</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393522.2</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393522.2</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393522.2</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2081199</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hAnsi="宋体" w:cs="宋体"/>
                <w:color w:val="000000"/>
                <w:kern w:val="0"/>
                <w:sz w:val="18"/>
                <w:szCs w:val="18"/>
              </w:rPr>
              <w:t xml:space="preserve">  </w:t>
            </w:r>
            <w:r>
              <w:rPr>
                <w:rStyle w:val="32"/>
                <w:rFonts w:hint="eastAsia"/>
              </w:rPr>
              <w:t>其他残疾人事业支出</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29605.74</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27015.23</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27015.23</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27015.23</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2089999</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其他社会保障和就业支出</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15987.75</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21518.14</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21518.14</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21518.14</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2101102</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事业单位医疗</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157897.28</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196851.74</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196851.74</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196851.74</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2101103</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cs="宋体"/>
                <w:color w:val="000000"/>
                <w:sz w:val="18"/>
                <w:szCs w:val="18"/>
              </w:rPr>
              <w:t>公务员医疗补助</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19737.16</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36889.68</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36889.68</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36889.68</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94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ascii="宋体" w:hAnsi="宋体" w:cs="宋体"/>
                <w:color w:val="000000"/>
                <w:kern w:val="0"/>
                <w:sz w:val="18"/>
                <w:szCs w:val="18"/>
              </w:rPr>
              <w:t>2210201</w:t>
            </w:r>
          </w:p>
        </w:tc>
        <w:tc>
          <w:tcPr>
            <w:tcW w:w="2216"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hint="eastAsia" w:ascii="宋体" w:hAnsi="宋体" w:cs="宋体"/>
                <w:color w:val="000000"/>
                <w:kern w:val="0"/>
                <w:sz w:val="18"/>
                <w:szCs w:val="18"/>
              </w:rPr>
              <w:t>住房公积金</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236845.92</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283460.76</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283460.76</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283460.76</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kern w:val="0"/>
                <w:sz w:val="20"/>
                <w:szCs w:val="20"/>
              </w:rPr>
              <w:t>0</w:t>
            </w:r>
          </w:p>
        </w:tc>
      </w:tr>
      <w:tr>
        <w:tblPrEx>
          <w:tblLayout w:type="fixed"/>
          <w:tblCellMar>
            <w:top w:w="0" w:type="dxa"/>
            <w:left w:w="108" w:type="dxa"/>
            <w:bottom w:w="0" w:type="dxa"/>
            <w:right w:w="108" w:type="dxa"/>
          </w:tblCellMar>
        </w:tblPrEx>
        <w:trPr>
          <w:trHeight w:val="360" w:hRule="atLeast"/>
        </w:trPr>
        <w:tc>
          <w:tcPr>
            <w:tcW w:w="3161" w:type="dxa"/>
            <w:gridSpan w:val="2"/>
            <w:tcBorders>
              <w:top w:val="nil"/>
              <w:left w:val="single" w:color="000000" w:sz="8" w:space="0"/>
              <w:bottom w:val="single" w:color="000000" w:sz="8" w:space="0"/>
              <w:right w:val="single" w:color="000000" w:sz="8" w:space="0"/>
            </w:tcBorders>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合计</w:t>
            </w:r>
          </w:p>
        </w:tc>
        <w:tc>
          <w:tcPr>
            <w:tcW w:w="1147"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sz w:val="18"/>
                <w:szCs w:val="18"/>
              </w:rPr>
              <w:t>3516293.69</w:t>
            </w:r>
          </w:p>
        </w:tc>
        <w:tc>
          <w:tcPr>
            <w:tcW w:w="1470" w:type="dxa"/>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kern w:val="0"/>
                <w:sz w:val="18"/>
                <w:szCs w:val="18"/>
              </w:rPr>
            </w:pPr>
            <w:r>
              <w:rPr>
                <w:rFonts w:ascii="宋体" w:cs="宋体"/>
                <w:color w:val="000000"/>
                <w:kern w:val="0"/>
                <w:sz w:val="18"/>
                <w:szCs w:val="18"/>
              </w:rPr>
              <w:t>13809925.73</w:t>
            </w:r>
          </w:p>
        </w:tc>
        <w:tc>
          <w:tcPr>
            <w:tcW w:w="1252" w:type="dxa"/>
            <w:gridSpan w:val="2"/>
            <w:tcBorders>
              <w:top w:val="nil"/>
              <w:left w:val="nil"/>
              <w:bottom w:val="single" w:color="000000" w:sz="8" w:space="0"/>
              <w:right w:val="single" w:color="000000" w:sz="8" w:space="0"/>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13809925.73</w:t>
            </w:r>
          </w:p>
        </w:tc>
        <w:tc>
          <w:tcPr>
            <w:tcW w:w="1323" w:type="dxa"/>
            <w:tcBorders>
              <w:top w:val="nil"/>
              <w:left w:val="nil"/>
              <w:bottom w:val="single" w:color="000000" w:sz="8" w:space="0"/>
              <w:right w:val="nil"/>
            </w:tcBorders>
            <w:vAlign w:val="center"/>
          </w:tcPr>
          <w:p>
            <w:pPr>
              <w:widowControl/>
              <w:jc w:val="left"/>
              <w:textAlignment w:val="center"/>
              <w:rPr>
                <w:rFonts w:ascii="宋体" w:cs="宋体"/>
                <w:color w:val="000000"/>
                <w:sz w:val="18"/>
                <w:szCs w:val="18"/>
              </w:rPr>
            </w:pPr>
            <w:r>
              <w:rPr>
                <w:rFonts w:ascii="宋体" w:cs="宋体"/>
                <w:color w:val="000000"/>
                <w:kern w:val="0"/>
                <w:sz w:val="18"/>
                <w:szCs w:val="18"/>
              </w:rPr>
              <w:t>13809925.73</w:t>
            </w:r>
          </w:p>
        </w:tc>
        <w:tc>
          <w:tcPr>
            <w:tcW w:w="68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Arial" w:hAnsi="Arial" w:cs="Arial"/>
                <w:color w:val="000000"/>
                <w:sz w:val="20"/>
                <w:szCs w:val="20"/>
              </w:rPr>
            </w:pPr>
            <w:r>
              <w:rPr>
                <w:rFonts w:ascii="Arial" w:hAnsi="Arial" w:cs="Arial"/>
                <w:color w:val="000000"/>
                <w:sz w:val="20"/>
                <w:szCs w:val="20"/>
              </w:rPr>
              <w:t>0</w:t>
            </w:r>
          </w:p>
        </w:tc>
      </w:tr>
    </w:tbl>
    <w:p>
      <w:pPr>
        <w:widowControl/>
        <w:spacing w:before="240" w:after="240"/>
        <w:ind w:firstLine="480" w:firstLineChars="200"/>
        <w:jc w:val="left"/>
        <w:rPr>
          <w:rFonts w:ascii="宋体" w:cs="宋体"/>
          <w:kern w:val="0"/>
          <w:sz w:val="24"/>
        </w:rPr>
      </w:pPr>
      <w:r>
        <w:rPr>
          <w:rFonts w:hint="eastAsia" w:ascii="宋体" w:hAnsi="宋体" w:cs="宋体"/>
          <w:kern w:val="0"/>
          <w:sz w:val="24"/>
        </w:rPr>
        <w:t>（</w:t>
      </w:r>
      <w:r>
        <w:rPr>
          <w:rFonts w:eastAsia="Times New Roman"/>
          <w:kern w:val="0"/>
          <w:sz w:val="24"/>
        </w:rPr>
        <w:t>1</w:t>
      </w:r>
      <w:r>
        <w:rPr>
          <w:rFonts w:hint="eastAsia" w:ascii="宋体" w:hAnsi="宋体" w:cs="宋体"/>
          <w:kern w:val="0"/>
          <w:sz w:val="24"/>
        </w:rPr>
        <w:t>）预、决算差异情况，可分收入支出功能科目、分单位、分收入支出具体项目逐项对比（可列表）。</w:t>
      </w:r>
    </w:p>
    <w:p>
      <w:pPr>
        <w:widowControl/>
        <w:spacing w:before="240" w:after="240"/>
        <w:jc w:val="left"/>
        <w:rPr>
          <w:rFonts w:ascii="宋体" w:cs="宋体"/>
          <w:kern w:val="0"/>
          <w:sz w:val="24"/>
        </w:rPr>
      </w:pPr>
    </w:p>
    <w:p>
      <w:pPr>
        <w:widowControl/>
        <w:spacing w:before="240" w:after="240"/>
        <w:jc w:val="left"/>
        <w:rPr>
          <w:rFonts w:eastAsia="Times New Roman"/>
          <w:kern w:val="0"/>
          <w:sz w:val="24"/>
        </w:rPr>
      </w:pPr>
      <w:r>
        <w:rPr>
          <w:rFonts w:eastAsia="Times New Roman"/>
          <w:kern w:val="0"/>
          <w:sz w:val="24"/>
        </w:rPr>
        <w:t xml:space="preserve">          </w:t>
      </w: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ascii="宋体" w:cs="宋体"/>
          <w:kern w:val="0"/>
          <w:sz w:val="24"/>
        </w:rPr>
      </w:pPr>
    </w:p>
    <w:p>
      <w:pPr>
        <w:widowControl/>
        <w:spacing w:before="240" w:after="240"/>
        <w:jc w:val="left"/>
        <w:rPr>
          <w:rFonts w:ascii="宋体" w:cs="宋体"/>
          <w:kern w:val="0"/>
          <w:sz w:val="24"/>
        </w:rPr>
      </w:pPr>
    </w:p>
    <w:p>
      <w:pPr>
        <w:widowControl/>
        <w:spacing w:before="240" w:after="240"/>
        <w:jc w:val="left"/>
        <w:rPr>
          <w:rFonts w:ascii="宋体" w:cs="宋体"/>
          <w:kern w:val="0"/>
          <w:sz w:val="24"/>
        </w:rPr>
      </w:pPr>
    </w:p>
    <w:p>
      <w:pPr>
        <w:widowControl/>
        <w:spacing w:before="240" w:after="240"/>
        <w:ind w:firstLine="480" w:firstLineChars="200"/>
        <w:jc w:val="left"/>
        <w:rPr>
          <w:kern w:val="0"/>
          <w:sz w:val="24"/>
        </w:rPr>
      </w:pPr>
      <w:r>
        <w:rPr>
          <w:rFonts w:hint="eastAsia" w:ascii="宋体" w:hAnsi="宋体" w:cs="宋体"/>
          <w:kern w:val="0"/>
          <w:sz w:val="24"/>
        </w:rPr>
        <w:t>（</w:t>
      </w:r>
      <w:r>
        <w:rPr>
          <w:rFonts w:eastAsia="Times New Roman"/>
          <w:kern w:val="0"/>
          <w:sz w:val="24"/>
        </w:rPr>
        <w:t>2</w:t>
      </w:r>
      <w:r>
        <w:rPr>
          <w:rFonts w:hint="eastAsia" w:ascii="宋体" w:hAnsi="宋体" w:cs="宋体"/>
          <w:kern w:val="0"/>
          <w:sz w:val="24"/>
        </w:rPr>
        <w:t>）差异原因分析。新馆开馆活动项目增加，收入支出由年初的</w:t>
      </w:r>
      <w:r>
        <w:rPr>
          <w:rFonts w:ascii="宋体" w:hAnsi="宋体" w:cs="宋体"/>
          <w:kern w:val="0"/>
          <w:sz w:val="24"/>
        </w:rPr>
        <w:t>480000</w:t>
      </w:r>
      <w:r>
        <w:rPr>
          <w:rFonts w:hint="eastAsia" w:ascii="宋体" w:hAnsi="宋体" w:cs="宋体"/>
          <w:kern w:val="0"/>
          <w:sz w:val="24"/>
        </w:rPr>
        <w:t>元加上年初结转的</w:t>
      </w:r>
      <w:r>
        <w:rPr>
          <w:rFonts w:ascii="宋体" w:hAnsi="宋体" w:cs="宋体"/>
          <w:kern w:val="0"/>
          <w:sz w:val="24"/>
        </w:rPr>
        <w:t>30000</w:t>
      </w:r>
      <w:r>
        <w:rPr>
          <w:rFonts w:hint="eastAsia" w:ascii="宋体" w:hAnsi="宋体" w:cs="宋体"/>
          <w:kern w:val="0"/>
          <w:sz w:val="24"/>
        </w:rPr>
        <w:t>元增加到</w:t>
      </w:r>
      <w:r>
        <w:rPr>
          <w:rFonts w:ascii="宋体" w:hAnsi="宋体" w:cs="宋体"/>
          <w:kern w:val="0"/>
          <w:sz w:val="24"/>
        </w:rPr>
        <w:t>9748756.68</w:t>
      </w:r>
      <w:r>
        <w:rPr>
          <w:rFonts w:hint="eastAsia" w:ascii="宋体" w:hAnsi="宋体" w:cs="宋体"/>
          <w:kern w:val="0"/>
          <w:sz w:val="24"/>
        </w:rPr>
        <w:t>元，增加了</w:t>
      </w:r>
      <w:r>
        <w:rPr>
          <w:rFonts w:ascii="宋体" w:hAnsi="宋体" w:cs="宋体"/>
          <w:kern w:val="0"/>
          <w:sz w:val="24"/>
        </w:rPr>
        <w:t>9238756.68</w:t>
      </w:r>
      <w:r>
        <w:rPr>
          <w:rFonts w:hint="eastAsia" w:ascii="宋体" w:hAnsi="宋体" w:cs="宋体"/>
          <w:kern w:val="0"/>
          <w:sz w:val="24"/>
        </w:rPr>
        <w:t>元，其中：</w:t>
      </w:r>
      <w:r>
        <w:rPr>
          <w:rFonts w:ascii="宋体" w:hAnsi="宋体" w:cs="宋体"/>
          <w:kern w:val="0"/>
          <w:sz w:val="24"/>
        </w:rPr>
        <w:t>2060702-</w:t>
      </w:r>
      <w:r>
        <w:rPr>
          <w:rFonts w:hint="eastAsia" w:ascii="宋体" w:hAnsi="宋体" w:cs="宋体"/>
          <w:kern w:val="0"/>
          <w:sz w:val="24"/>
        </w:rPr>
        <w:t>科普活动增加</w:t>
      </w:r>
      <w:r>
        <w:rPr>
          <w:rFonts w:ascii="宋体" w:hAnsi="宋体" w:cs="宋体"/>
          <w:kern w:val="0"/>
          <w:sz w:val="24"/>
        </w:rPr>
        <w:t>1638756.68</w:t>
      </w:r>
      <w:r>
        <w:rPr>
          <w:rFonts w:hint="eastAsia" w:ascii="宋体" w:hAnsi="宋体" w:cs="宋体"/>
          <w:kern w:val="0"/>
          <w:sz w:val="24"/>
        </w:rPr>
        <w:t>元，</w:t>
      </w:r>
      <w:r>
        <w:rPr>
          <w:rFonts w:ascii="宋体" w:hAnsi="宋体" w:cs="宋体"/>
          <w:kern w:val="0"/>
          <w:sz w:val="24"/>
        </w:rPr>
        <w:t>2060705-</w:t>
      </w:r>
      <w:r>
        <w:rPr>
          <w:rFonts w:hint="eastAsia" w:ascii="宋体" w:hAnsi="宋体" w:cs="宋体"/>
          <w:kern w:val="0"/>
          <w:sz w:val="24"/>
        </w:rPr>
        <w:t>科技馆站增加</w:t>
      </w:r>
      <w:r>
        <w:rPr>
          <w:rFonts w:ascii="宋体" w:hAnsi="宋体" w:cs="宋体"/>
          <w:kern w:val="0"/>
          <w:sz w:val="24"/>
        </w:rPr>
        <w:t>7600000</w:t>
      </w:r>
      <w:r>
        <w:rPr>
          <w:rFonts w:hint="eastAsia" w:ascii="宋体" w:hAnsi="宋体" w:cs="宋体"/>
          <w:kern w:val="0"/>
          <w:sz w:val="24"/>
        </w:rPr>
        <w:t>元。另外由于人员增加，工资和福利支出也相应增加</w:t>
      </w:r>
      <w:r>
        <w:rPr>
          <w:rFonts w:ascii="宋体" w:hAnsi="宋体" w:cs="宋体"/>
          <w:kern w:val="0"/>
          <w:sz w:val="24"/>
        </w:rPr>
        <w:t>1054875</w:t>
      </w:r>
      <w:r>
        <w:rPr>
          <w:rFonts w:hint="eastAsia" w:ascii="宋体" w:hAnsi="宋体" w:cs="宋体"/>
          <w:kern w:val="0"/>
          <w:sz w:val="24"/>
        </w:rPr>
        <w:t>元。</w:t>
      </w:r>
    </w:p>
    <w:p>
      <w:pPr>
        <w:pStyle w:val="5"/>
        <w:keepNext w:val="0"/>
        <w:keepLines w:val="0"/>
        <w:widowControl/>
        <w:spacing w:before="319" w:after="319" w:line="240" w:lineRule="auto"/>
        <w:ind w:firstLine="482" w:firstLineChars="200"/>
        <w:jc w:val="left"/>
        <w:rPr>
          <w:rFonts w:ascii="宋体" w:cs="宋体"/>
          <w:kern w:val="0"/>
          <w:sz w:val="24"/>
          <w:szCs w:val="24"/>
        </w:rPr>
      </w:pPr>
      <w:r>
        <w:rPr>
          <w:rFonts w:ascii="Times New Roman" w:hAnsi="Times New Roman"/>
          <w:kern w:val="0"/>
          <w:sz w:val="24"/>
          <w:szCs w:val="24"/>
        </w:rPr>
        <w:t>2</w:t>
      </w:r>
      <w:r>
        <w:rPr>
          <w:rFonts w:hint="eastAsia" w:ascii="宋体" w:hAnsi="宋体" w:cs="宋体"/>
          <w:kern w:val="0"/>
          <w:sz w:val="24"/>
          <w:szCs w:val="24"/>
        </w:rPr>
        <w:t>．收入支出结构分析。</w:t>
      </w:r>
    </w:p>
    <w:p>
      <w:pPr>
        <w:pStyle w:val="5"/>
        <w:keepNext w:val="0"/>
        <w:keepLines w:val="0"/>
        <w:widowControl/>
        <w:spacing w:before="319" w:after="319" w:line="240" w:lineRule="auto"/>
        <w:ind w:firstLine="480" w:firstLineChars="200"/>
        <w:jc w:val="left"/>
        <w:rPr>
          <w:rFonts w:ascii="宋体" w:cs="宋体"/>
          <w:kern w:val="0"/>
          <w:sz w:val="24"/>
        </w:rPr>
      </w:pPr>
      <w:r>
        <w:rPr>
          <w:rFonts w:hint="eastAsia" w:ascii="宋体" w:hAnsi="宋体" w:cs="宋体"/>
          <w:b w:val="0"/>
          <w:bCs w:val="0"/>
          <w:kern w:val="0"/>
          <w:sz w:val="24"/>
        </w:rPr>
        <w:t>（</w:t>
      </w:r>
      <w:r>
        <w:rPr>
          <w:rFonts w:eastAsia="Times New Roman"/>
          <w:b w:val="0"/>
          <w:bCs w:val="0"/>
          <w:kern w:val="0"/>
          <w:sz w:val="24"/>
        </w:rPr>
        <w:t>1</w:t>
      </w:r>
      <w:r>
        <w:rPr>
          <w:rFonts w:hint="eastAsia" w:ascii="宋体" w:hAnsi="宋体" w:cs="宋体"/>
          <w:b w:val="0"/>
          <w:bCs w:val="0"/>
          <w:kern w:val="0"/>
          <w:sz w:val="24"/>
        </w:rPr>
        <w:t>）各项收入占总收入的比重，各项支出占总支出的比重（可分别制作饼状图）</w:t>
      </w:r>
    </w:p>
    <w:p>
      <w:pPr>
        <w:widowControl/>
        <w:spacing w:before="240" w:after="240"/>
        <w:ind w:firstLine="480"/>
        <w:jc w:val="left"/>
        <w:rPr>
          <w:kern w:val="0"/>
          <w:sz w:val="24"/>
        </w:rPr>
      </w:pPr>
      <w:r>
        <w:rPr>
          <w:rFonts w:hint="eastAsia"/>
          <w:kern w:val="0"/>
          <w:sz w:val="24"/>
        </w:rPr>
        <w:t>收入结构：本年收入</w:t>
      </w:r>
      <w:r>
        <w:rPr>
          <w:kern w:val="0"/>
          <w:sz w:val="24"/>
        </w:rPr>
        <w:t>1377.99</w:t>
      </w:r>
      <w:r>
        <w:rPr>
          <w:rFonts w:hint="eastAsia"/>
          <w:kern w:val="0"/>
          <w:sz w:val="24"/>
        </w:rPr>
        <w:t>万元，财政拨款收入</w:t>
      </w:r>
      <w:r>
        <w:rPr>
          <w:kern w:val="0"/>
          <w:sz w:val="24"/>
        </w:rPr>
        <w:t>1377.99</w:t>
      </w:r>
      <w:r>
        <w:rPr>
          <w:rFonts w:hint="eastAsia"/>
          <w:kern w:val="0"/>
          <w:sz w:val="24"/>
        </w:rPr>
        <w:t>万元，占</w:t>
      </w:r>
      <w:r>
        <w:rPr>
          <w:kern w:val="0"/>
          <w:sz w:val="24"/>
        </w:rPr>
        <w:t>100%</w:t>
      </w:r>
      <w:r>
        <w:rPr>
          <w:rFonts w:hint="eastAsia"/>
          <w:kern w:val="0"/>
          <w:sz w:val="24"/>
        </w:rPr>
        <w:t>；</w:t>
      </w:r>
    </w:p>
    <w:p>
      <w:pPr>
        <w:widowControl/>
        <w:spacing w:before="240" w:after="240"/>
        <w:ind w:firstLine="480"/>
        <w:jc w:val="left"/>
        <w:rPr>
          <w:kern w:val="0"/>
          <w:sz w:val="24"/>
        </w:rPr>
      </w:pPr>
      <w:r>
        <w:rPr>
          <w:rFonts w:hint="eastAsia"/>
          <w:kern w:val="0"/>
          <w:sz w:val="24"/>
        </w:rPr>
        <w:t>支出结构：本年支出</w:t>
      </w:r>
      <w:r>
        <w:rPr>
          <w:kern w:val="0"/>
          <w:sz w:val="24"/>
        </w:rPr>
        <w:t>1380.99</w:t>
      </w:r>
      <w:r>
        <w:rPr>
          <w:rFonts w:hint="eastAsia"/>
          <w:kern w:val="0"/>
          <w:sz w:val="24"/>
        </w:rPr>
        <w:t>万元，财政拨款支出</w:t>
      </w:r>
      <w:r>
        <w:rPr>
          <w:kern w:val="0"/>
          <w:sz w:val="24"/>
        </w:rPr>
        <w:t>1377.99</w:t>
      </w:r>
      <w:r>
        <w:rPr>
          <w:rFonts w:hint="eastAsia"/>
          <w:kern w:val="0"/>
          <w:sz w:val="24"/>
        </w:rPr>
        <w:t>万元，占</w:t>
      </w:r>
      <w:r>
        <w:rPr>
          <w:kern w:val="0"/>
          <w:sz w:val="24"/>
        </w:rPr>
        <w:t>99.78%</w:t>
      </w:r>
      <w:r>
        <w:rPr>
          <w:rFonts w:hint="eastAsia"/>
          <w:kern w:val="0"/>
          <w:sz w:val="24"/>
        </w:rPr>
        <w:t>，其他支出</w:t>
      </w:r>
      <w:r>
        <w:rPr>
          <w:kern w:val="0"/>
          <w:sz w:val="24"/>
        </w:rPr>
        <w:t>3</w:t>
      </w:r>
      <w:r>
        <w:rPr>
          <w:rFonts w:hint="eastAsia"/>
          <w:kern w:val="0"/>
          <w:sz w:val="24"/>
        </w:rPr>
        <w:t>万元，占</w:t>
      </w:r>
      <w:r>
        <w:rPr>
          <w:kern w:val="0"/>
          <w:sz w:val="24"/>
        </w:rPr>
        <w:t>0.22%</w:t>
      </w:r>
      <w:r>
        <w:rPr>
          <w:rFonts w:hint="eastAsia"/>
          <w:kern w:val="0"/>
          <w:sz w:val="24"/>
        </w:rPr>
        <w:t>。</w:t>
      </w:r>
    </w:p>
    <w:p>
      <w:pPr>
        <w:widowControl/>
        <w:numPr>
          <w:ilvl w:val="0"/>
          <w:numId w:val="2"/>
        </w:numPr>
        <w:spacing w:before="240" w:after="240"/>
        <w:jc w:val="left"/>
        <w:rPr>
          <w:rFonts w:eastAsia="Times New Roman"/>
          <w:kern w:val="0"/>
          <w:sz w:val="24"/>
        </w:rPr>
      </w:pPr>
      <w:r>
        <w:rPr>
          <w:rFonts w:hint="eastAsia" w:ascii="宋体" w:hAnsi="宋体" w:cs="宋体"/>
          <w:kern w:val="0"/>
          <w:sz w:val="24"/>
        </w:rPr>
        <w:t>收入支出与上年度对比情况及原因分析</w:t>
      </w:r>
      <w:r>
        <w:rPr>
          <w:rFonts w:eastAsia="Times New Roman"/>
          <w:kern w:val="0"/>
          <w:sz w:val="24"/>
        </w:rPr>
        <w:t>(</w:t>
      </w:r>
      <w:r>
        <w:rPr>
          <w:rFonts w:hint="eastAsia" w:ascii="宋体" w:hAnsi="宋体" w:cs="宋体"/>
          <w:kern w:val="0"/>
          <w:sz w:val="24"/>
        </w:rPr>
        <w:t>可用柱形图或折线图</w:t>
      </w:r>
      <w:r>
        <w:rPr>
          <w:rFonts w:eastAsia="Times New Roman"/>
          <w:kern w:val="0"/>
          <w:sz w:val="24"/>
        </w:rPr>
        <w:t>)</w:t>
      </w:r>
    </w:p>
    <w:p>
      <w:pPr>
        <w:widowControl/>
        <w:spacing w:before="240" w:after="240"/>
        <w:jc w:val="left"/>
        <w:rPr>
          <w:kern w:val="0"/>
          <w:sz w:val="24"/>
        </w:rPr>
      </w:pPr>
      <w:r>
        <w:rPr>
          <w:kern w:val="0"/>
          <w:sz w:val="24"/>
        </w:rPr>
        <w:t xml:space="preserve">    </w:t>
      </w:r>
      <w:r>
        <w:rPr>
          <w:rFonts w:hint="eastAsia"/>
          <w:kern w:val="0"/>
          <w:sz w:val="24"/>
        </w:rPr>
        <w:t>收入总计</w:t>
      </w:r>
      <w:r>
        <w:rPr>
          <w:kern w:val="0"/>
          <w:sz w:val="24"/>
        </w:rPr>
        <w:t>1377.99</w:t>
      </w:r>
      <w:r>
        <w:rPr>
          <w:rFonts w:hint="eastAsia"/>
          <w:kern w:val="0"/>
          <w:sz w:val="24"/>
        </w:rPr>
        <w:t>万元，比上年</w:t>
      </w:r>
      <w:r>
        <w:rPr>
          <w:kern w:val="0"/>
          <w:sz w:val="24"/>
        </w:rPr>
        <w:t>482.55</w:t>
      </w:r>
      <w:r>
        <w:rPr>
          <w:rFonts w:hint="eastAsia"/>
          <w:kern w:val="0"/>
          <w:sz w:val="24"/>
        </w:rPr>
        <w:t>万元增加</w:t>
      </w:r>
      <w:r>
        <w:rPr>
          <w:kern w:val="0"/>
          <w:sz w:val="24"/>
        </w:rPr>
        <w:t>185.56%;</w:t>
      </w:r>
      <w:r>
        <w:rPr>
          <w:rFonts w:hint="eastAsia"/>
          <w:kern w:val="0"/>
          <w:sz w:val="24"/>
        </w:rPr>
        <w:t>本年支出</w:t>
      </w:r>
      <w:r>
        <w:rPr>
          <w:kern w:val="0"/>
          <w:sz w:val="24"/>
        </w:rPr>
        <w:t>1380.99</w:t>
      </w:r>
      <w:r>
        <w:rPr>
          <w:rFonts w:hint="eastAsia"/>
          <w:kern w:val="0"/>
          <w:sz w:val="24"/>
        </w:rPr>
        <w:t>万元，比上年的</w:t>
      </w:r>
      <w:r>
        <w:rPr>
          <w:kern w:val="0"/>
          <w:sz w:val="24"/>
        </w:rPr>
        <w:t>482.55</w:t>
      </w:r>
      <w:r>
        <w:rPr>
          <w:rFonts w:hint="eastAsia"/>
          <w:kern w:val="0"/>
          <w:sz w:val="24"/>
        </w:rPr>
        <w:t>万元增加</w:t>
      </w:r>
      <w:r>
        <w:rPr>
          <w:kern w:val="0"/>
          <w:sz w:val="24"/>
        </w:rPr>
        <w:t>186.00%;</w:t>
      </w:r>
      <w:r>
        <w:rPr>
          <w:rFonts w:hint="eastAsia"/>
          <w:kern w:val="0"/>
          <w:sz w:val="24"/>
        </w:rPr>
        <w:t>主要是由于人员增加，人员经费支出比上年增加</w:t>
      </w:r>
      <w:r>
        <w:rPr>
          <w:kern w:val="0"/>
          <w:sz w:val="24"/>
        </w:rPr>
        <w:t>107.,71</w:t>
      </w:r>
      <w:r>
        <w:rPr>
          <w:rFonts w:hint="eastAsia"/>
          <w:kern w:val="0"/>
          <w:sz w:val="24"/>
        </w:rPr>
        <w:t>万元，增加</w:t>
      </w:r>
      <w:r>
        <w:rPr>
          <w:kern w:val="0"/>
          <w:sz w:val="24"/>
        </w:rPr>
        <w:t>37.00%</w:t>
      </w:r>
      <w:r>
        <w:rPr>
          <w:rFonts w:hint="eastAsia"/>
          <w:kern w:val="0"/>
          <w:sz w:val="24"/>
        </w:rPr>
        <w:t>，和项目支出的</w:t>
      </w:r>
      <w:r>
        <w:rPr>
          <w:kern w:val="0"/>
          <w:sz w:val="24"/>
        </w:rPr>
        <w:t>974.88</w:t>
      </w:r>
      <w:r>
        <w:rPr>
          <w:rFonts w:hint="eastAsia"/>
          <w:kern w:val="0"/>
          <w:sz w:val="24"/>
        </w:rPr>
        <w:t>万元，比上年增加</w:t>
      </w:r>
      <w:r>
        <w:rPr>
          <w:kern w:val="0"/>
          <w:sz w:val="24"/>
        </w:rPr>
        <w:t>791.99</w:t>
      </w:r>
      <w:r>
        <w:rPr>
          <w:rFonts w:hint="eastAsia"/>
          <w:kern w:val="0"/>
          <w:sz w:val="24"/>
        </w:rPr>
        <w:t>万元，增加</w:t>
      </w:r>
      <w:r>
        <w:rPr>
          <w:kern w:val="0"/>
          <w:sz w:val="24"/>
        </w:rPr>
        <w:t>433.00%</w:t>
      </w:r>
      <w:r>
        <w:rPr>
          <w:rFonts w:hint="eastAsia"/>
          <w:kern w:val="0"/>
          <w:sz w:val="24"/>
        </w:rPr>
        <w:t>。</w:t>
      </w:r>
    </w:p>
    <w:p>
      <w:pPr>
        <w:pStyle w:val="5"/>
        <w:keepNext w:val="0"/>
        <w:keepLines w:val="0"/>
        <w:widowControl/>
        <w:spacing w:before="319" w:after="319" w:line="240" w:lineRule="auto"/>
        <w:ind w:firstLine="482" w:firstLineChars="200"/>
        <w:rPr>
          <w:rFonts w:ascii="宋体" w:cs="宋体"/>
          <w:kern w:val="0"/>
          <w:sz w:val="24"/>
          <w:szCs w:val="24"/>
        </w:rPr>
      </w:pPr>
      <w:r>
        <w:rPr>
          <w:rFonts w:ascii="Times New Roman" w:hAnsi="Times New Roman"/>
          <w:kern w:val="0"/>
          <w:sz w:val="24"/>
          <w:szCs w:val="24"/>
        </w:rPr>
        <w:t>3</w:t>
      </w:r>
      <w:r>
        <w:rPr>
          <w:rFonts w:hint="eastAsia" w:ascii="宋体" w:hAnsi="宋体" w:cs="宋体"/>
          <w:kern w:val="0"/>
          <w:sz w:val="24"/>
          <w:szCs w:val="24"/>
        </w:rPr>
        <w:t>．支出按经济分类科目分析。</w:t>
      </w:r>
    </w:p>
    <w:p>
      <w:pPr>
        <w:pStyle w:val="5"/>
        <w:keepNext w:val="0"/>
        <w:keepLines w:val="0"/>
        <w:widowControl/>
        <w:spacing w:before="319" w:after="319" w:line="240" w:lineRule="auto"/>
        <w:ind w:firstLine="480" w:firstLineChars="200"/>
        <w:rPr>
          <w:rFonts w:ascii="宋体" w:cs="宋体"/>
          <w:b w:val="0"/>
          <w:bCs w:val="0"/>
          <w:kern w:val="0"/>
          <w:sz w:val="24"/>
        </w:rPr>
      </w:pPr>
      <w:r>
        <w:rPr>
          <w:rFonts w:hint="eastAsia" w:ascii="宋体" w:hAnsi="宋体" w:cs="宋体"/>
          <w:b w:val="0"/>
          <w:bCs w:val="0"/>
          <w:kern w:val="0"/>
          <w:sz w:val="24"/>
        </w:rPr>
        <w:t>（</w:t>
      </w:r>
      <w:r>
        <w:rPr>
          <w:rFonts w:eastAsia="Times New Roman"/>
          <w:b w:val="0"/>
          <w:bCs w:val="0"/>
          <w:kern w:val="0"/>
          <w:sz w:val="24"/>
        </w:rPr>
        <w:t>1</w:t>
      </w:r>
      <w:r>
        <w:rPr>
          <w:rFonts w:hint="eastAsia" w:ascii="宋体" w:hAnsi="宋体" w:cs="宋体"/>
          <w:b w:val="0"/>
          <w:bCs w:val="0"/>
          <w:kern w:val="0"/>
          <w:sz w:val="24"/>
        </w:rPr>
        <w:t>）</w:t>
      </w:r>
      <w:r>
        <w:rPr>
          <w:rFonts w:eastAsia="Times New Roman"/>
          <w:b w:val="0"/>
          <w:bCs w:val="0"/>
          <w:kern w:val="0"/>
          <w:sz w:val="24"/>
        </w:rPr>
        <w:t>“</w:t>
      </w:r>
      <w:r>
        <w:rPr>
          <w:rFonts w:hint="eastAsia" w:ascii="宋体" w:hAnsi="宋体" w:cs="宋体"/>
          <w:b w:val="0"/>
          <w:bCs w:val="0"/>
          <w:kern w:val="0"/>
          <w:sz w:val="24"/>
        </w:rPr>
        <w:t>三公</w:t>
      </w:r>
      <w:r>
        <w:rPr>
          <w:rFonts w:eastAsia="Times New Roman"/>
          <w:b w:val="0"/>
          <w:bCs w:val="0"/>
          <w:kern w:val="0"/>
          <w:sz w:val="24"/>
        </w:rPr>
        <w:t>”</w:t>
      </w:r>
      <w:r>
        <w:rPr>
          <w:rFonts w:hint="eastAsia" w:ascii="宋体" w:hAnsi="宋体" w:cs="宋体"/>
          <w:b w:val="0"/>
          <w:bCs w:val="0"/>
          <w:kern w:val="0"/>
          <w:sz w:val="24"/>
        </w:rPr>
        <w:t>经费支出情况：可进行上下年对比、预决算对比。分析</w:t>
      </w:r>
      <w:r>
        <w:rPr>
          <w:rFonts w:eastAsia="Times New Roman"/>
          <w:b w:val="0"/>
          <w:bCs w:val="0"/>
          <w:kern w:val="0"/>
          <w:sz w:val="24"/>
        </w:rPr>
        <w:t>“</w:t>
      </w:r>
      <w:r>
        <w:rPr>
          <w:rFonts w:hint="eastAsia" w:ascii="宋体" w:hAnsi="宋体" w:cs="宋体"/>
          <w:b w:val="0"/>
          <w:bCs w:val="0"/>
          <w:kern w:val="0"/>
          <w:sz w:val="24"/>
        </w:rPr>
        <w:t>三公</w:t>
      </w:r>
      <w:r>
        <w:rPr>
          <w:rFonts w:eastAsia="Times New Roman"/>
          <w:b w:val="0"/>
          <w:bCs w:val="0"/>
          <w:kern w:val="0"/>
          <w:sz w:val="24"/>
        </w:rPr>
        <w:t>”</w:t>
      </w:r>
      <w:r>
        <w:rPr>
          <w:rFonts w:hint="eastAsia" w:ascii="宋体" w:hAnsi="宋体" w:cs="宋体"/>
          <w:b w:val="0"/>
          <w:bCs w:val="0"/>
          <w:kern w:val="0"/>
          <w:sz w:val="24"/>
        </w:rPr>
        <w:t>经费实物量情况，例如公务用车购置及保有量、因公出国（境）团组数及人数和公务接待批次及人数等情况与分析。动用上年结转用于三公经费的情况与原因。</w:t>
      </w:r>
    </w:p>
    <w:p>
      <w:r>
        <w:rPr>
          <w:rFonts w:ascii="宋体" w:hAnsi="宋体" w:cs="宋体"/>
          <w:kern w:val="0"/>
          <w:sz w:val="24"/>
        </w:rPr>
        <w:t xml:space="preserve">    </w:t>
      </w:r>
      <w:r>
        <w:rPr>
          <w:rFonts w:hint="eastAsia" w:ascii="宋体" w:hAnsi="宋体" w:cs="宋体"/>
          <w:kern w:val="0"/>
          <w:sz w:val="24"/>
        </w:rPr>
        <w:t>本年没有</w:t>
      </w:r>
      <w:r>
        <w:rPr>
          <w:rFonts w:eastAsia="Times New Roman"/>
          <w:kern w:val="0"/>
          <w:sz w:val="24"/>
        </w:rPr>
        <w:t>“</w:t>
      </w:r>
      <w:r>
        <w:rPr>
          <w:rFonts w:hint="eastAsia" w:ascii="宋体" w:hAnsi="宋体" w:cs="宋体"/>
          <w:kern w:val="0"/>
          <w:sz w:val="24"/>
        </w:rPr>
        <w:t>三公</w:t>
      </w:r>
      <w:r>
        <w:rPr>
          <w:rFonts w:eastAsia="Times New Roman"/>
          <w:kern w:val="0"/>
          <w:sz w:val="24"/>
        </w:rPr>
        <w:t>”</w:t>
      </w:r>
      <w:r>
        <w:rPr>
          <w:rFonts w:hint="eastAsia" w:ascii="宋体" w:hAnsi="宋体" w:cs="宋体"/>
          <w:kern w:val="0"/>
          <w:sz w:val="24"/>
        </w:rPr>
        <w:t>经费支出，比上年减少</w:t>
      </w:r>
      <w:r>
        <w:rPr>
          <w:rFonts w:ascii="宋体" w:hAnsi="宋体" w:cs="宋体"/>
          <w:kern w:val="0"/>
          <w:sz w:val="24"/>
        </w:rPr>
        <w:t>1.82</w:t>
      </w:r>
      <w:r>
        <w:rPr>
          <w:rFonts w:hint="eastAsia" w:ascii="宋体" w:hAnsi="宋体" w:cs="宋体"/>
          <w:kern w:val="0"/>
          <w:sz w:val="24"/>
        </w:rPr>
        <w:t>万元，减少</w:t>
      </w:r>
      <w:r>
        <w:rPr>
          <w:rFonts w:ascii="宋体" w:hAnsi="宋体" w:cs="宋体"/>
          <w:kern w:val="0"/>
          <w:sz w:val="24"/>
        </w:rPr>
        <w:t>100%</w:t>
      </w:r>
      <w:r>
        <w:rPr>
          <w:rFonts w:hint="eastAsia" w:ascii="宋体" w:hAnsi="宋体" w:cs="宋体"/>
          <w:kern w:val="0"/>
          <w:sz w:val="24"/>
        </w:rPr>
        <w:t>，本单位现有</w:t>
      </w:r>
      <w:r>
        <w:rPr>
          <w:rFonts w:ascii="宋体" w:hAnsi="宋体" w:cs="宋体"/>
          <w:kern w:val="0"/>
          <w:sz w:val="24"/>
        </w:rPr>
        <w:t>2</w:t>
      </w:r>
      <w:r>
        <w:rPr>
          <w:rFonts w:hint="eastAsia" w:ascii="宋体" w:hAnsi="宋体" w:cs="宋体"/>
          <w:kern w:val="0"/>
          <w:sz w:val="24"/>
        </w:rPr>
        <w:t>辆科普大篷车，没有公务用车、因公出国（境）团组数及人数和公务接待批次及人数等情况。</w:t>
      </w:r>
    </w:p>
    <w:p>
      <w:pPr>
        <w:widowControl/>
        <w:spacing w:before="240" w:after="240"/>
        <w:ind w:left="420"/>
        <w:jc w:val="left"/>
        <w:rPr>
          <w:rFonts w:ascii="宋体" w:cs="宋体"/>
          <w:kern w:val="0"/>
          <w:sz w:val="24"/>
        </w:rPr>
      </w:pPr>
      <w:r>
        <w:rPr>
          <w:rFonts w:hint="eastAsia" w:ascii="宋体" w:hAnsi="宋体" w:cs="宋体"/>
          <w:kern w:val="0"/>
          <w:sz w:val="24"/>
        </w:rPr>
        <w:t>（</w:t>
      </w:r>
      <w:r>
        <w:rPr>
          <w:kern w:val="0"/>
          <w:sz w:val="24"/>
        </w:rPr>
        <w:t>2</w:t>
      </w:r>
      <w:r>
        <w:rPr>
          <w:rFonts w:hint="eastAsia" w:ascii="宋体" w:hAnsi="宋体" w:cs="宋体"/>
          <w:kern w:val="0"/>
          <w:sz w:val="24"/>
        </w:rPr>
        <w:t>）会议费支出情况：可进行上下年对比</w:t>
      </w:r>
      <w:r>
        <w:rPr>
          <w:rFonts w:eastAsia="Times New Roman"/>
          <w:kern w:val="0"/>
          <w:sz w:val="24"/>
        </w:rPr>
        <w:t>,</w:t>
      </w:r>
      <w:r>
        <w:rPr>
          <w:rFonts w:hint="eastAsia" w:ascii="宋体" w:hAnsi="宋体" w:cs="宋体"/>
          <w:kern w:val="0"/>
          <w:sz w:val="24"/>
        </w:rPr>
        <w:t>人均支出情况分析（可做表、柱图、折线图）</w:t>
      </w:r>
    </w:p>
    <w:p>
      <w:pPr>
        <w:widowControl/>
        <w:spacing w:before="240" w:after="240"/>
        <w:ind w:left="420"/>
        <w:jc w:val="left"/>
        <w:rPr>
          <w:rFonts w:ascii="宋体" w:cs="宋体"/>
          <w:kern w:val="0"/>
          <w:sz w:val="24"/>
        </w:rPr>
      </w:pPr>
      <w:r>
        <w:rPr>
          <w:rFonts w:hint="eastAsia" w:ascii="宋体" w:hAnsi="宋体" w:cs="宋体"/>
          <w:kern w:val="0"/>
          <w:sz w:val="24"/>
        </w:rPr>
        <w:t>没有。</w:t>
      </w:r>
    </w:p>
    <w:p>
      <w:pPr>
        <w:widowControl/>
        <w:spacing w:before="240" w:after="240"/>
        <w:ind w:left="420"/>
        <w:jc w:val="left"/>
        <w:rPr>
          <w:rFonts w:ascii="宋体" w:cs="宋体"/>
          <w:kern w:val="0"/>
          <w:sz w:val="24"/>
        </w:rPr>
      </w:pPr>
      <w:r>
        <w:rPr>
          <w:rFonts w:hint="eastAsia" w:ascii="宋体" w:hAnsi="宋体" w:cs="宋体"/>
          <w:kern w:val="0"/>
          <w:sz w:val="24"/>
        </w:rPr>
        <w:t>（</w:t>
      </w:r>
      <w:r>
        <w:rPr>
          <w:kern w:val="0"/>
          <w:sz w:val="24"/>
        </w:rPr>
        <w:t>3</w:t>
      </w:r>
      <w:r>
        <w:rPr>
          <w:rFonts w:hint="eastAsia" w:ascii="宋体" w:hAnsi="宋体" w:cs="宋体"/>
          <w:kern w:val="0"/>
          <w:sz w:val="24"/>
        </w:rPr>
        <w:t>）培训费支出情况：可进行上下年对比，人均支出情况分析（可做表、柱图、折线图）</w:t>
      </w:r>
    </w:p>
    <w:tbl>
      <w:tblPr>
        <w:tblStyle w:val="21"/>
        <w:tblpPr w:leftFromText="180" w:rightFromText="180" w:vertAnchor="text" w:horzAnchor="page" w:tblpX="2301" w:tblpY="201"/>
        <w:tblOverlap w:val="never"/>
        <w:tblW w:w="8060" w:type="dxa"/>
        <w:tblInd w:w="0" w:type="dxa"/>
        <w:tblLayout w:type="fixed"/>
        <w:tblCellMar>
          <w:top w:w="0" w:type="dxa"/>
          <w:left w:w="108" w:type="dxa"/>
          <w:bottom w:w="0" w:type="dxa"/>
          <w:right w:w="108" w:type="dxa"/>
        </w:tblCellMar>
      </w:tblPr>
      <w:tblGrid>
        <w:gridCol w:w="1034"/>
        <w:gridCol w:w="1048"/>
        <w:gridCol w:w="1066"/>
        <w:gridCol w:w="1837"/>
        <w:gridCol w:w="1837"/>
        <w:gridCol w:w="1238"/>
      </w:tblGrid>
      <w:tr>
        <w:tblPrEx>
          <w:tblLayout w:type="fixed"/>
          <w:tblCellMar>
            <w:top w:w="0" w:type="dxa"/>
            <w:left w:w="108" w:type="dxa"/>
            <w:bottom w:w="0" w:type="dxa"/>
            <w:right w:w="108" w:type="dxa"/>
          </w:tblCellMar>
        </w:tblPrEx>
        <w:trPr>
          <w:trHeight w:val="643" w:hRule="atLeast"/>
        </w:trPr>
        <w:tc>
          <w:tcPr>
            <w:tcW w:w="8060" w:type="dxa"/>
            <w:gridSpan w:val="6"/>
            <w:tcBorders>
              <w:top w:val="nil"/>
              <w:left w:val="nil"/>
              <w:bottom w:val="nil"/>
              <w:right w:val="nil"/>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培训费支出上下年度对比分析表</w:t>
            </w:r>
          </w:p>
        </w:tc>
      </w:tr>
      <w:tr>
        <w:tblPrEx>
          <w:tblLayout w:type="fixed"/>
          <w:tblCellMar>
            <w:top w:w="0" w:type="dxa"/>
            <w:left w:w="108" w:type="dxa"/>
            <w:bottom w:w="0" w:type="dxa"/>
            <w:right w:w="108" w:type="dxa"/>
          </w:tblCellMar>
        </w:tblPrEx>
        <w:trPr>
          <w:trHeight w:val="321" w:hRule="atLeast"/>
        </w:trPr>
        <w:tc>
          <w:tcPr>
            <w:tcW w:w="8060" w:type="dxa"/>
            <w:gridSpan w:val="6"/>
            <w:tcBorders>
              <w:top w:val="nil"/>
              <w:left w:val="nil"/>
              <w:bottom w:val="nil"/>
              <w:right w:val="nil"/>
            </w:tcBorders>
            <w:vAlign w:val="center"/>
          </w:tcPr>
          <w:p>
            <w:pPr>
              <w:widowControl/>
              <w:jc w:val="right"/>
              <w:textAlignment w:val="center"/>
              <w:rPr>
                <w:rFonts w:ascii="宋体" w:cs="宋体"/>
                <w:color w:val="000000"/>
                <w:sz w:val="24"/>
              </w:rPr>
            </w:pPr>
            <w:r>
              <w:rPr>
                <w:rFonts w:hint="eastAsia" w:ascii="宋体" w:hAnsi="宋体" w:cs="宋体"/>
                <w:color w:val="000000"/>
                <w:kern w:val="0"/>
                <w:sz w:val="24"/>
              </w:rPr>
              <w:t>金额单位万元</w:t>
            </w:r>
          </w:p>
        </w:tc>
      </w:tr>
      <w:tr>
        <w:tblPrEx>
          <w:tblLayout w:type="fixed"/>
          <w:tblCellMar>
            <w:top w:w="0" w:type="dxa"/>
            <w:left w:w="108" w:type="dxa"/>
            <w:bottom w:w="0" w:type="dxa"/>
            <w:right w:w="108" w:type="dxa"/>
          </w:tblCellMar>
        </w:tblPrEx>
        <w:trPr>
          <w:trHeight w:val="979" w:hRule="atLeast"/>
        </w:trPr>
        <w:tc>
          <w:tcPr>
            <w:tcW w:w="10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本年</w:t>
            </w:r>
            <w:r>
              <w:rPr>
                <w:rFonts w:ascii="宋体" w:cs="宋体"/>
                <w:color w:val="000000"/>
                <w:kern w:val="0"/>
                <w:sz w:val="24"/>
              </w:rPr>
              <w:br w:type="textWrapping"/>
            </w:r>
            <w:r>
              <w:rPr>
                <w:rFonts w:hint="eastAsia" w:ascii="宋体" w:hAnsi="宋体" w:cs="宋体"/>
                <w:color w:val="000000"/>
                <w:kern w:val="0"/>
                <w:sz w:val="24"/>
              </w:rPr>
              <w:t>支出</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上年</w:t>
            </w:r>
            <w:r>
              <w:rPr>
                <w:rFonts w:ascii="宋体" w:cs="宋体"/>
                <w:color w:val="000000"/>
                <w:kern w:val="0"/>
                <w:sz w:val="24"/>
              </w:rPr>
              <w:br w:type="textWrapping"/>
            </w:r>
            <w:r>
              <w:rPr>
                <w:rFonts w:hint="eastAsia" w:ascii="宋体" w:hAnsi="宋体" w:cs="宋体"/>
                <w:color w:val="000000"/>
                <w:kern w:val="0"/>
                <w:sz w:val="24"/>
              </w:rPr>
              <w:t>支出</w:t>
            </w:r>
          </w:p>
        </w:tc>
        <w:tc>
          <w:tcPr>
            <w:tcW w:w="10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比上年</w:t>
            </w:r>
            <w:r>
              <w:rPr>
                <w:rFonts w:ascii="宋体" w:cs="宋体"/>
                <w:color w:val="000000"/>
                <w:kern w:val="0"/>
                <w:sz w:val="24"/>
              </w:rPr>
              <w:br w:type="textWrapping"/>
            </w:r>
            <w:r>
              <w:rPr>
                <w:rFonts w:hint="eastAsia" w:ascii="宋体" w:hAnsi="宋体" w:cs="宋体"/>
                <w:color w:val="000000"/>
                <w:kern w:val="0"/>
                <w:sz w:val="24"/>
              </w:rPr>
              <w:t>增减</w:t>
            </w:r>
            <w:r>
              <w:rPr>
                <w:rFonts w:ascii="宋体" w:hAnsi="宋体" w:cs="宋体"/>
                <w:color w:val="000000"/>
                <w:kern w:val="0"/>
                <w:sz w:val="24"/>
              </w:rPr>
              <w:t>%</w:t>
            </w:r>
          </w:p>
        </w:tc>
        <w:tc>
          <w:tcPr>
            <w:tcW w:w="18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本年人均支出</w:t>
            </w:r>
          </w:p>
        </w:tc>
        <w:tc>
          <w:tcPr>
            <w:tcW w:w="18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上年人均支出</w:t>
            </w:r>
          </w:p>
        </w:tc>
        <w:tc>
          <w:tcPr>
            <w:tcW w:w="1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比上年</w:t>
            </w:r>
            <w:r>
              <w:rPr>
                <w:rFonts w:ascii="宋体" w:cs="宋体"/>
                <w:color w:val="000000"/>
                <w:kern w:val="0"/>
                <w:sz w:val="24"/>
              </w:rPr>
              <w:br w:type="textWrapping"/>
            </w:r>
            <w:r>
              <w:rPr>
                <w:rFonts w:hint="eastAsia" w:ascii="宋体" w:hAnsi="宋体" w:cs="宋体"/>
                <w:color w:val="000000"/>
                <w:kern w:val="0"/>
                <w:sz w:val="24"/>
              </w:rPr>
              <w:t>增减</w:t>
            </w:r>
            <w:r>
              <w:rPr>
                <w:rFonts w:ascii="宋体" w:hAnsi="宋体" w:cs="宋体"/>
                <w:color w:val="000000"/>
                <w:kern w:val="0"/>
                <w:sz w:val="24"/>
              </w:rPr>
              <w:t>%</w:t>
            </w:r>
          </w:p>
        </w:tc>
      </w:tr>
      <w:tr>
        <w:tblPrEx>
          <w:tblLayout w:type="fixed"/>
          <w:tblCellMar>
            <w:top w:w="0" w:type="dxa"/>
            <w:left w:w="108" w:type="dxa"/>
            <w:bottom w:w="0" w:type="dxa"/>
            <w:right w:w="108" w:type="dxa"/>
          </w:tblCellMar>
        </w:tblPrEx>
        <w:trPr>
          <w:trHeight w:val="515" w:hRule="atLeast"/>
        </w:trPr>
        <w:tc>
          <w:tcPr>
            <w:tcW w:w="10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ascii="宋体" w:hAnsi="宋体" w:cs="宋体"/>
                <w:color w:val="000000"/>
                <w:kern w:val="0"/>
                <w:sz w:val="24"/>
              </w:rPr>
              <w:t>7</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ascii="宋体" w:hAnsi="宋体" w:cs="宋体"/>
                <w:color w:val="000000"/>
                <w:kern w:val="0"/>
                <w:sz w:val="24"/>
              </w:rPr>
              <w:t>6.29</w:t>
            </w:r>
          </w:p>
        </w:tc>
        <w:tc>
          <w:tcPr>
            <w:tcW w:w="10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ascii="宋体" w:hAnsi="宋体" w:cs="宋体"/>
                <w:color w:val="000000"/>
                <w:kern w:val="0"/>
                <w:sz w:val="24"/>
              </w:rPr>
              <w:t>11.28</w:t>
            </w:r>
          </w:p>
        </w:tc>
        <w:tc>
          <w:tcPr>
            <w:tcW w:w="18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ascii="宋体" w:hAnsi="宋体" w:cs="宋体"/>
                <w:color w:val="000000"/>
                <w:kern w:val="0"/>
                <w:sz w:val="24"/>
              </w:rPr>
              <w:t>0.19</w:t>
            </w:r>
          </w:p>
        </w:tc>
        <w:tc>
          <w:tcPr>
            <w:tcW w:w="18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ascii="宋体" w:hAnsi="宋体" w:cs="宋体"/>
                <w:color w:val="000000"/>
                <w:kern w:val="0"/>
                <w:sz w:val="24"/>
              </w:rPr>
              <w:t>0.20</w:t>
            </w:r>
          </w:p>
        </w:tc>
        <w:tc>
          <w:tcPr>
            <w:tcW w:w="12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r>
    </w:tbl>
    <w:p>
      <w:pPr>
        <w:widowControl/>
        <w:spacing w:before="240" w:after="240"/>
        <w:ind w:left="420"/>
        <w:jc w:val="left"/>
        <w:rPr>
          <w:rFonts w:ascii="宋体" w:cs="宋体"/>
          <w:kern w:val="0"/>
          <w:sz w:val="24"/>
        </w:rPr>
      </w:pPr>
    </w:p>
    <w:p>
      <w:pPr>
        <w:widowControl/>
        <w:spacing w:before="240" w:after="240"/>
        <w:jc w:val="left"/>
        <w:rPr>
          <w:rFonts w:eastAsia="Times New Roman"/>
          <w:kern w:val="0"/>
          <w:sz w:val="24"/>
        </w:rPr>
      </w:pPr>
      <w:r>
        <w:rPr>
          <w:rFonts w:eastAsia="Times New Roman"/>
          <w:kern w:val="0"/>
          <w:sz w:val="24"/>
        </w:rPr>
        <w:t xml:space="preserve">    </w:t>
      </w: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kern w:val="0"/>
          <w:sz w:val="24"/>
        </w:rPr>
      </w:pPr>
      <w:r>
        <w:rPr>
          <w:kern w:val="0"/>
          <w:sz w:val="24"/>
        </w:rPr>
        <w:t xml:space="preserve">    </w:t>
      </w:r>
      <w:r>
        <w:rPr>
          <w:rFonts w:hint="eastAsia"/>
          <w:kern w:val="0"/>
          <w:sz w:val="24"/>
        </w:rPr>
        <w:t>本年</w:t>
      </w:r>
      <w:r>
        <w:rPr>
          <w:rFonts w:hint="eastAsia" w:ascii="宋体" w:hAnsi="宋体" w:cs="宋体"/>
          <w:kern w:val="0"/>
          <w:sz w:val="24"/>
        </w:rPr>
        <w:t>培训费支出</w:t>
      </w:r>
      <w:r>
        <w:rPr>
          <w:rFonts w:ascii="宋体" w:hAnsi="宋体" w:cs="宋体"/>
          <w:kern w:val="0"/>
          <w:sz w:val="24"/>
        </w:rPr>
        <w:t>7</w:t>
      </w:r>
      <w:r>
        <w:rPr>
          <w:rFonts w:hint="eastAsia" w:ascii="宋体" w:hAnsi="宋体" w:cs="宋体"/>
          <w:kern w:val="0"/>
          <w:sz w:val="24"/>
        </w:rPr>
        <w:t>万元，比上年增加</w:t>
      </w:r>
      <w:r>
        <w:rPr>
          <w:rFonts w:ascii="宋体" w:hAnsi="宋体" w:cs="宋体"/>
          <w:kern w:val="0"/>
          <w:sz w:val="24"/>
        </w:rPr>
        <w:t>11.28%</w:t>
      </w:r>
      <w:r>
        <w:rPr>
          <w:rFonts w:hint="eastAsia" w:ascii="宋体" w:hAnsi="宋体" w:cs="宋体"/>
          <w:kern w:val="0"/>
          <w:sz w:val="24"/>
        </w:rPr>
        <w:t>，由于人员增加比上年人均培训费支出减少</w:t>
      </w:r>
      <w:r>
        <w:rPr>
          <w:rFonts w:ascii="宋体" w:hAnsi="宋体" w:cs="宋体"/>
          <w:kern w:val="0"/>
          <w:sz w:val="24"/>
        </w:rPr>
        <w:t>5%</w:t>
      </w:r>
      <w:r>
        <w:rPr>
          <w:rFonts w:hint="eastAsia" w:ascii="宋体" w:hAnsi="宋体" w:cs="宋体"/>
          <w:kern w:val="0"/>
          <w:sz w:val="24"/>
        </w:rPr>
        <w:t>。</w:t>
      </w:r>
    </w:p>
    <w:p>
      <w:pPr>
        <w:widowControl/>
        <w:spacing w:before="240" w:after="240"/>
        <w:ind w:left="420"/>
        <w:jc w:val="left"/>
        <w:rPr>
          <w:rFonts w:ascii="宋体" w:cs="宋体"/>
          <w:kern w:val="0"/>
          <w:sz w:val="24"/>
        </w:rPr>
      </w:pPr>
      <w:r>
        <w:rPr>
          <w:rFonts w:hint="eastAsia" w:ascii="宋体" w:hAnsi="宋体" w:cs="宋体"/>
          <w:kern w:val="0"/>
          <w:sz w:val="24"/>
        </w:rPr>
        <w:t>（</w:t>
      </w:r>
      <w:r>
        <w:rPr>
          <w:kern w:val="0"/>
          <w:sz w:val="24"/>
        </w:rPr>
        <w:t>4</w:t>
      </w:r>
      <w:r>
        <w:rPr>
          <w:rFonts w:hint="eastAsia" w:ascii="宋体" w:hAnsi="宋体" w:cs="宋体"/>
          <w:kern w:val="0"/>
          <w:sz w:val="24"/>
        </w:rPr>
        <w:t>）其他对单位影响较大的支出情况。</w:t>
      </w:r>
    </w:p>
    <w:p>
      <w:pPr>
        <w:widowControl/>
        <w:spacing w:before="240" w:after="240"/>
        <w:ind w:left="420"/>
        <w:jc w:val="left"/>
        <w:rPr>
          <w:rFonts w:ascii="宋体" w:cs="宋体"/>
          <w:kern w:val="0"/>
          <w:sz w:val="24"/>
        </w:rPr>
      </w:pPr>
      <w:r>
        <w:rPr>
          <w:rFonts w:hint="eastAsia" w:ascii="宋体" w:hAnsi="宋体" w:cs="宋体"/>
          <w:kern w:val="0"/>
          <w:sz w:val="24"/>
        </w:rPr>
        <w:t>没有。</w:t>
      </w:r>
    </w:p>
    <w:p>
      <w:pPr>
        <w:widowControl/>
        <w:spacing w:before="240" w:after="240"/>
        <w:ind w:left="420"/>
        <w:jc w:val="left"/>
        <w:rPr>
          <w:rFonts w:ascii="宋体" w:cs="宋体"/>
          <w:kern w:val="0"/>
          <w:sz w:val="24"/>
        </w:rPr>
      </w:pPr>
      <w:r>
        <w:rPr>
          <w:rFonts w:hint="eastAsia" w:ascii="宋体" w:hAnsi="宋体" w:cs="宋体"/>
          <w:kern w:val="0"/>
          <w:sz w:val="24"/>
        </w:rPr>
        <w:t>（</w:t>
      </w:r>
      <w:r>
        <w:rPr>
          <w:rFonts w:eastAsia="Times New Roman"/>
          <w:kern w:val="0"/>
          <w:sz w:val="24"/>
        </w:rPr>
        <w:t>5</w:t>
      </w:r>
      <w:r>
        <w:rPr>
          <w:rFonts w:hint="eastAsia" w:ascii="宋体" w:hAnsi="宋体" w:cs="宋体"/>
          <w:kern w:val="0"/>
          <w:sz w:val="24"/>
        </w:rPr>
        <w:t>）重点经济分类支出中存在的问题及改进措施。</w:t>
      </w:r>
    </w:p>
    <w:p>
      <w:pPr>
        <w:widowControl/>
        <w:spacing w:before="240" w:after="240"/>
        <w:ind w:left="420"/>
        <w:jc w:val="left"/>
        <w:rPr>
          <w:rFonts w:ascii="宋体" w:cs="宋体"/>
          <w:kern w:val="0"/>
          <w:sz w:val="24"/>
        </w:rPr>
      </w:pPr>
      <w:r>
        <w:rPr>
          <w:rFonts w:hint="eastAsia" w:ascii="宋体" w:hAnsi="宋体" w:cs="宋体"/>
          <w:kern w:val="0"/>
          <w:sz w:val="24"/>
        </w:rPr>
        <w:t>没有。</w:t>
      </w:r>
    </w:p>
    <w:p>
      <w:pPr>
        <w:pStyle w:val="5"/>
        <w:keepNext w:val="0"/>
        <w:keepLines w:val="0"/>
        <w:widowControl/>
        <w:spacing w:before="319" w:after="319" w:line="240" w:lineRule="auto"/>
        <w:ind w:firstLine="482" w:firstLineChars="200"/>
        <w:jc w:val="left"/>
        <w:rPr>
          <w:rFonts w:ascii="Times New Roman" w:hAnsi="Times New Roman"/>
          <w:kern w:val="0"/>
          <w:sz w:val="24"/>
        </w:rPr>
      </w:pPr>
      <w:r>
        <w:rPr>
          <w:rFonts w:ascii="Times New Roman" w:hAnsi="Times New Roman"/>
          <w:kern w:val="0"/>
          <w:sz w:val="24"/>
          <w:szCs w:val="24"/>
        </w:rPr>
        <w:t>4.</w:t>
      </w:r>
      <w:r>
        <w:rPr>
          <w:rFonts w:hint="eastAsia" w:ascii="宋体" w:hAnsi="宋体" w:cs="宋体"/>
          <w:kern w:val="0"/>
          <w:sz w:val="24"/>
          <w:szCs w:val="24"/>
        </w:rPr>
        <w:t>财政拨款收入、支出分析。</w:t>
      </w:r>
    </w:p>
    <w:p>
      <w:pPr>
        <w:widowControl/>
        <w:spacing w:before="240" w:after="240"/>
        <w:jc w:val="left"/>
        <w:rPr>
          <w:rFonts w:ascii="宋体" w:cs="宋体"/>
          <w:kern w:val="0"/>
          <w:sz w:val="24"/>
        </w:rPr>
      </w:pPr>
      <w:r>
        <w:rPr>
          <w:rFonts w:eastAsia="Times New Roman"/>
          <w:kern w:val="0"/>
          <w:sz w:val="24"/>
        </w:rPr>
        <w:t> </w:t>
      </w:r>
      <w:r>
        <w:rPr>
          <w:kern w:val="0"/>
          <w:sz w:val="24"/>
        </w:rPr>
        <w:t xml:space="preserve">    </w:t>
      </w:r>
      <w:r>
        <w:rPr>
          <w:rFonts w:hint="eastAsia" w:ascii="宋体" w:hAnsi="宋体" w:cs="宋体"/>
          <w:kern w:val="0"/>
          <w:sz w:val="24"/>
        </w:rPr>
        <w:t>根据报表项目分析财政拨款收入、支出情况，支出要按照基本支出和项目支出分析具体构成及特点。</w:t>
      </w:r>
    </w:p>
    <w:p>
      <w:pPr>
        <w:widowControl/>
        <w:spacing w:before="240" w:after="240"/>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本年财政拨款收入</w:t>
      </w:r>
      <w:r>
        <w:rPr>
          <w:rFonts w:ascii="宋体" w:hAnsi="宋体" w:cs="宋体"/>
          <w:kern w:val="0"/>
          <w:sz w:val="24"/>
        </w:rPr>
        <w:t>1377.99</w:t>
      </w:r>
      <w:r>
        <w:rPr>
          <w:rFonts w:hint="eastAsia" w:ascii="宋体" w:hAnsi="宋体" w:cs="宋体"/>
          <w:kern w:val="0"/>
          <w:sz w:val="24"/>
        </w:rPr>
        <w:t>万元比上年的</w:t>
      </w:r>
      <w:r>
        <w:rPr>
          <w:rFonts w:ascii="宋体" w:hAnsi="宋体" w:cs="宋体"/>
          <w:kern w:val="0"/>
          <w:sz w:val="24"/>
        </w:rPr>
        <w:t>482.53</w:t>
      </w:r>
      <w:r>
        <w:rPr>
          <w:rFonts w:hint="eastAsia" w:ascii="宋体" w:hAnsi="宋体" w:cs="宋体"/>
          <w:kern w:val="0"/>
          <w:sz w:val="24"/>
        </w:rPr>
        <w:t>万元增加</w:t>
      </w:r>
      <w:r>
        <w:rPr>
          <w:rFonts w:ascii="宋体" w:hAnsi="宋体" w:cs="宋体"/>
          <w:kern w:val="0"/>
          <w:sz w:val="24"/>
        </w:rPr>
        <w:t>186%</w:t>
      </w:r>
      <w:r>
        <w:rPr>
          <w:rFonts w:hint="eastAsia" w:ascii="宋体" w:hAnsi="宋体" w:cs="宋体"/>
          <w:kern w:val="0"/>
          <w:sz w:val="24"/>
        </w:rPr>
        <w:t>、本年财政拨款支出按预算分类一般公共预算</w:t>
      </w:r>
      <w:r>
        <w:rPr>
          <w:rFonts w:ascii="宋体" w:hAnsi="宋体" w:cs="宋体"/>
          <w:kern w:val="0"/>
          <w:sz w:val="24"/>
        </w:rPr>
        <w:t>1377.99</w:t>
      </w:r>
      <w:r>
        <w:rPr>
          <w:rFonts w:hint="eastAsia" w:ascii="宋体" w:hAnsi="宋体" w:cs="宋体"/>
          <w:kern w:val="0"/>
          <w:sz w:val="24"/>
        </w:rPr>
        <w:t>万元比上年增加</w:t>
      </w:r>
      <w:r>
        <w:rPr>
          <w:rFonts w:ascii="宋体" w:hAnsi="宋体" w:cs="宋体"/>
          <w:kern w:val="0"/>
          <w:sz w:val="24"/>
        </w:rPr>
        <w:t>186%</w:t>
      </w:r>
      <w:r>
        <w:rPr>
          <w:rFonts w:hint="eastAsia" w:ascii="宋体" w:hAnsi="宋体" w:cs="宋体"/>
          <w:kern w:val="0"/>
          <w:sz w:val="24"/>
        </w:rPr>
        <w:t>，按支出性质分析，基本支出</w:t>
      </w:r>
      <w:r>
        <w:rPr>
          <w:rFonts w:ascii="宋体" w:hAnsi="宋体" w:cs="宋体"/>
          <w:kern w:val="0"/>
          <w:sz w:val="24"/>
        </w:rPr>
        <w:t>406.12</w:t>
      </w:r>
      <w:r>
        <w:rPr>
          <w:rFonts w:hint="eastAsia" w:ascii="宋体" w:hAnsi="宋体" w:cs="宋体"/>
          <w:kern w:val="0"/>
          <w:sz w:val="24"/>
        </w:rPr>
        <w:t>万元比上年的</w:t>
      </w:r>
      <w:r>
        <w:rPr>
          <w:rFonts w:ascii="宋体" w:hAnsi="宋体" w:cs="宋体"/>
          <w:kern w:val="0"/>
          <w:sz w:val="24"/>
        </w:rPr>
        <w:t>299.65</w:t>
      </w:r>
      <w:r>
        <w:rPr>
          <w:rFonts w:hint="eastAsia" w:ascii="宋体" w:hAnsi="宋体" w:cs="宋体"/>
          <w:kern w:val="0"/>
          <w:sz w:val="24"/>
        </w:rPr>
        <w:t>万元增加</w:t>
      </w:r>
      <w:r>
        <w:rPr>
          <w:rFonts w:ascii="宋体" w:hAnsi="宋体" w:cs="宋体"/>
          <w:kern w:val="0"/>
          <w:sz w:val="24"/>
        </w:rPr>
        <w:t>106.47</w:t>
      </w:r>
      <w:r>
        <w:rPr>
          <w:rFonts w:hint="eastAsia" w:ascii="宋体" w:hAnsi="宋体" w:cs="宋体"/>
          <w:kern w:val="0"/>
          <w:sz w:val="24"/>
        </w:rPr>
        <w:t>万元，增加</w:t>
      </w:r>
      <w:r>
        <w:rPr>
          <w:rFonts w:ascii="宋体" w:hAnsi="宋体" w:cs="宋体"/>
          <w:kern w:val="0"/>
          <w:sz w:val="24"/>
        </w:rPr>
        <w:t>35.53%</w:t>
      </w:r>
      <w:r>
        <w:rPr>
          <w:rFonts w:hint="eastAsia" w:ascii="宋体" w:hAnsi="宋体" w:cs="宋体"/>
          <w:kern w:val="0"/>
          <w:sz w:val="24"/>
        </w:rPr>
        <w:t>、项目支出</w:t>
      </w:r>
      <w:r>
        <w:rPr>
          <w:rFonts w:ascii="宋体" w:hAnsi="宋体" w:cs="宋体"/>
          <w:kern w:val="0"/>
          <w:sz w:val="24"/>
        </w:rPr>
        <w:t>971.88</w:t>
      </w:r>
      <w:r>
        <w:rPr>
          <w:rFonts w:hint="eastAsia" w:ascii="宋体" w:hAnsi="宋体" w:cs="宋体"/>
          <w:kern w:val="0"/>
          <w:sz w:val="24"/>
        </w:rPr>
        <w:t>万元，比上年的</w:t>
      </w:r>
      <w:r>
        <w:rPr>
          <w:rFonts w:ascii="宋体" w:hAnsi="宋体" w:cs="宋体"/>
          <w:kern w:val="0"/>
          <w:sz w:val="24"/>
        </w:rPr>
        <w:t>182.89</w:t>
      </w:r>
      <w:r>
        <w:rPr>
          <w:rFonts w:hint="eastAsia" w:ascii="宋体" w:hAnsi="宋体" w:cs="宋体"/>
          <w:kern w:val="0"/>
          <w:sz w:val="24"/>
        </w:rPr>
        <w:t>万元增加</w:t>
      </w:r>
      <w:r>
        <w:rPr>
          <w:rFonts w:ascii="宋体" w:hAnsi="宋体" w:cs="宋体"/>
          <w:kern w:val="0"/>
          <w:sz w:val="24"/>
        </w:rPr>
        <w:t>788.99</w:t>
      </w:r>
      <w:r>
        <w:rPr>
          <w:rFonts w:hint="eastAsia" w:ascii="宋体" w:hAnsi="宋体" w:cs="宋体"/>
          <w:kern w:val="0"/>
          <w:sz w:val="24"/>
        </w:rPr>
        <w:t>万元，增加</w:t>
      </w:r>
      <w:r>
        <w:rPr>
          <w:rFonts w:ascii="宋体" w:hAnsi="宋体" w:cs="宋体"/>
          <w:kern w:val="0"/>
          <w:sz w:val="24"/>
        </w:rPr>
        <w:t>431.4%</w:t>
      </w:r>
      <w:r>
        <w:rPr>
          <w:rFonts w:hint="eastAsia" w:ascii="宋体" w:hAnsi="宋体" w:cs="宋体"/>
          <w:kern w:val="0"/>
          <w:sz w:val="24"/>
        </w:rPr>
        <w:t>，按支出经济分类工资福利支出</w:t>
      </w:r>
      <w:r>
        <w:rPr>
          <w:rFonts w:ascii="宋体" w:hAnsi="宋体" w:cs="宋体"/>
          <w:kern w:val="0"/>
          <w:sz w:val="24"/>
        </w:rPr>
        <w:t>395.28</w:t>
      </w:r>
      <w:r>
        <w:rPr>
          <w:rFonts w:hint="eastAsia" w:ascii="宋体" w:hAnsi="宋体" w:cs="宋体"/>
          <w:kern w:val="0"/>
          <w:sz w:val="24"/>
        </w:rPr>
        <w:t>万元，比上年的</w:t>
      </w:r>
      <w:r>
        <w:rPr>
          <w:rFonts w:ascii="宋体" w:hAnsi="宋体" w:cs="宋体"/>
          <w:kern w:val="0"/>
          <w:sz w:val="24"/>
        </w:rPr>
        <w:t>278.57</w:t>
      </w:r>
      <w:r>
        <w:rPr>
          <w:rFonts w:hint="eastAsia" w:ascii="宋体" w:hAnsi="宋体" w:cs="宋体"/>
          <w:kern w:val="0"/>
          <w:sz w:val="24"/>
        </w:rPr>
        <w:t>万元增加</w:t>
      </w:r>
      <w:r>
        <w:rPr>
          <w:rFonts w:ascii="宋体" w:hAnsi="宋体" w:cs="宋体"/>
          <w:kern w:val="0"/>
          <w:sz w:val="24"/>
        </w:rPr>
        <w:t>107.71%</w:t>
      </w:r>
      <w:r>
        <w:rPr>
          <w:rFonts w:hint="eastAsia" w:ascii="宋体" w:hAnsi="宋体" w:cs="宋体"/>
          <w:kern w:val="0"/>
          <w:sz w:val="24"/>
        </w:rPr>
        <w:t>、商品和服务支出</w:t>
      </w:r>
      <w:r>
        <w:rPr>
          <w:rFonts w:ascii="宋体" w:hAnsi="宋体" w:cs="宋体"/>
          <w:kern w:val="0"/>
          <w:sz w:val="24"/>
        </w:rPr>
        <w:t>86.76</w:t>
      </w:r>
      <w:r>
        <w:rPr>
          <w:rFonts w:hint="eastAsia" w:ascii="宋体" w:hAnsi="宋体" w:cs="宋体"/>
          <w:kern w:val="0"/>
          <w:sz w:val="24"/>
        </w:rPr>
        <w:t>万元，比上年增加</w:t>
      </w:r>
      <w:r>
        <w:rPr>
          <w:rFonts w:ascii="宋体" w:hAnsi="宋体" w:cs="宋体"/>
          <w:kern w:val="0"/>
          <w:sz w:val="24"/>
        </w:rPr>
        <w:t>68.07%</w:t>
      </w:r>
      <w:r>
        <w:rPr>
          <w:rFonts w:hint="eastAsia" w:ascii="宋体" w:hAnsi="宋体" w:cs="宋体"/>
          <w:kern w:val="0"/>
          <w:sz w:val="24"/>
        </w:rPr>
        <w:t>、对个人和家庭的补助</w:t>
      </w:r>
      <w:r>
        <w:rPr>
          <w:rFonts w:ascii="宋体" w:cs="宋体"/>
          <w:kern w:val="0"/>
          <w:sz w:val="24"/>
        </w:rPr>
        <w:t>0</w:t>
      </w:r>
      <w:r>
        <w:rPr>
          <w:rFonts w:hint="eastAsia" w:ascii="宋体" w:hAnsi="宋体" w:cs="宋体"/>
          <w:kern w:val="0"/>
          <w:sz w:val="24"/>
        </w:rPr>
        <w:t>万元，比上年减少</w:t>
      </w:r>
      <w:r>
        <w:rPr>
          <w:rFonts w:ascii="宋体" w:hAnsi="宋体" w:cs="宋体"/>
          <w:kern w:val="0"/>
          <w:sz w:val="24"/>
        </w:rPr>
        <w:t>100%</w:t>
      </w:r>
      <w:r>
        <w:rPr>
          <w:rFonts w:hint="eastAsia" w:ascii="宋体" w:hAnsi="宋体" w:cs="宋体"/>
          <w:kern w:val="0"/>
          <w:sz w:val="24"/>
        </w:rPr>
        <w:t>、资本性支出</w:t>
      </w:r>
      <w:r>
        <w:rPr>
          <w:rFonts w:ascii="宋体" w:hAnsi="宋体" w:cs="宋体"/>
          <w:kern w:val="0"/>
          <w:sz w:val="24"/>
        </w:rPr>
        <w:t>895.95</w:t>
      </w:r>
      <w:r>
        <w:rPr>
          <w:rFonts w:hint="eastAsia" w:ascii="宋体" w:hAnsi="宋体" w:cs="宋体"/>
          <w:kern w:val="0"/>
          <w:sz w:val="24"/>
        </w:rPr>
        <w:t>万元比上年增加</w:t>
      </w:r>
      <w:r>
        <w:rPr>
          <w:rFonts w:ascii="宋体" w:hAnsi="宋体" w:cs="宋体"/>
          <w:kern w:val="0"/>
          <w:sz w:val="24"/>
        </w:rPr>
        <w:t>539.96%.</w:t>
      </w:r>
    </w:p>
    <w:p>
      <w:pPr>
        <w:pStyle w:val="5"/>
        <w:keepNext w:val="0"/>
        <w:keepLines w:val="0"/>
        <w:widowControl/>
        <w:spacing w:before="319" w:after="319" w:line="240" w:lineRule="auto"/>
        <w:ind w:firstLine="482" w:firstLineChars="200"/>
        <w:jc w:val="left"/>
        <w:rPr>
          <w:rFonts w:ascii="Times New Roman" w:hAnsi="Times New Roman"/>
          <w:kern w:val="0"/>
          <w:sz w:val="24"/>
        </w:rPr>
      </w:pPr>
      <w:r>
        <w:rPr>
          <w:rFonts w:ascii="Times New Roman" w:hAnsi="Times New Roman"/>
          <w:kern w:val="0"/>
          <w:sz w:val="24"/>
          <w:szCs w:val="24"/>
        </w:rPr>
        <w:t>5.</w:t>
      </w:r>
      <w:r>
        <w:rPr>
          <w:rFonts w:hint="eastAsia" w:ascii="宋体" w:hAnsi="宋体" w:cs="宋体"/>
          <w:kern w:val="0"/>
          <w:sz w:val="24"/>
          <w:szCs w:val="24"/>
        </w:rPr>
        <w:t>非财政拨款收入分析。</w:t>
      </w:r>
    </w:p>
    <w:p>
      <w:pPr>
        <w:widowControl/>
        <w:spacing w:before="240" w:after="240"/>
        <w:ind w:firstLine="480" w:firstLineChars="200"/>
        <w:jc w:val="left"/>
        <w:rPr>
          <w:rFonts w:ascii="宋体" w:cs="宋体"/>
          <w:kern w:val="0"/>
          <w:sz w:val="24"/>
        </w:rPr>
      </w:pPr>
      <w:r>
        <w:rPr>
          <w:rFonts w:hint="eastAsia" w:ascii="宋体" w:hAnsi="宋体" w:cs="宋体"/>
          <w:kern w:val="0"/>
          <w:sz w:val="24"/>
        </w:rPr>
        <w:t>根据报表项目分析非财政拨款收入情况，按照事业收入、经营收入和其他收入等分析具体构成和特点。</w:t>
      </w:r>
    </w:p>
    <w:p>
      <w:pPr>
        <w:widowControl/>
        <w:spacing w:before="240" w:after="240"/>
        <w:ind w:firstLine="480" w:firstLineChars="200"/>
        <w:jc w:val="left"/>
        <w:rPr>
          <w:rFonts w:ascii="宋体" w:cs="宋体"/>
          <w:kern w:val="0"/>
          <w:sz w:val="24"/>
        </w:rPr>
      </w:pPr>
      <w:r>
        <w:rPr>
          <w:rFonts w:hint="eastAsia" w:ascii="宋体" w:hAnsi="宋体" w:cs="宋体"/>
          <w:kern w:val="0"/>
          <w:sz w:val="24"/>
        </w:rPr>
        <w:t>没有。</w:t>
      </w:r>
    </w:p>
    <w:p>
      <w:pPr>
        <w:pStyle w:val="4"/>
        <w:keepNext w:val="0"/>
        <w:keepLines w:val="0"/>
        <w:widowControl/>
        <w:spacing w:before="281" w:after="281" w:line="240" w:lineRule="auto"/>
        <w:ind w:firstLine="562" w:firstLineChars="200"/>
        <w:jc w:val="left"/>
        <w:rPr>
          <w:rFonts w:eastAsia="Times New Roman"/>
          <w:kern w:val="0"/>
          <w:sz w:val="28"/>
          <w:szCs w:val="28"/>
        </w:rPr>
      </w:pPr>
      <w:r>
        <w:rPr>
          <w:rFonts w:hint="eastAsia" w:ascii="宋体" w:hAnsi="宋体" w:cs="宋体"/>
          <w:kern w:val="0"/>
          <w:sz w:val="28"/>
          <w:szCs w:val="28"/>
        </w:rPr>
        <w:t>（三）年末结转和结余情况。</w:t>
      </w:r>
    </w:p>
    <w:p>
      <w:pPr>
        <w:widowControl/>
        <w:spacing w:before="240" w:after="240"/>
        <w:ind w:firstLine="480" w:firstLineChars="200"/>
        <w:jc w:val="left"/>
        <w:rPr>
          <w:rFonts w:ascii="宋体" w:cs="宋体"/>
          <w:kern w:val="0"/>
          <w:sz w:val="24"/>
        </w:rPr>
      </w:pPr>
      <w:r>
        <w:rPr>
          <w:rFonts w:eastAsia="Times New Roman"/>
          <w:kern w:val="0"/>
          <w:sz w:val="24"/>
        </w:rPr>
        <w:t>1</w:t>
      </w:r>
      <w:r>
        <w:rPr>
          <w:rFonts w:hint="eastAsia" w:ascii="宋体" w:hAnsi="宋体" w:cs="宋体"/>
          <w:kern w:val="0"/>
          <w:sz w:val="24"/>
        </w:rPr>
        <w:t>．根据报表项目分财政拨款结转结余和非财政拨款结转结余分析年末结转结余总体情况。按照资金来源、资金性质分析，分别分析基本支出、项目支出结转和结余情况，特别是项目经费结转和结余情况。</w:t>
      </w:r>
    </w:p>
    <w:p>
      <w:pPr>
        <w:widowControl/>
        <w:spacing w:before="240" w:after="240"/>
        <w:ind w:firstLine="480" w:firstLineChars="200"/>
        <w:jc w:val="left"/>
        <w:rPr>
          <w:rFonts w:ascii="宋体" w:cs="宋体"/>
          <w:kern w:val="0"/>
          <w:sz w:val="24"/>
        </w:rPr>
      </w:pPr>
      <w:r>
        <w:rPr>
          <w:rFonts w:hint="eastAsia" w:ascii="宋体" w:hAnsi="宋体" w:cs="宋体"/>
          <w:kern w:val="0"/>
          <w:sz w:val="24"/>
        </w:rPr>
        <w:t>没有。</w:t>
      </w:r>
    </w:p>
    <w:p>
      <w:pPr>
        <w:widowControl/>
        <w:spacing w:before="240" w:after="240"/>
        <w:ind w:left="420" w:leftChars="200"/>
        <w:jc w:val="left"/>
        <w:rPr>
          <w:rFonts w:ascii="宋体" w:cs="宋体"/>
          <w:kern w:val="0"/>
          <w:sz w:val="24"/>
        </w:rPr>
      </w:pPr>
      <w:r>
        <w:rPr>
          <w:kern w:val="0"/>
          <w:sz w:val="24"/>
        </w:rPr>
        <w:t>2</w:t>
      </w:r>
      <w:r>
        <w:rPr>
          <w:rFonts w:hint="eastAsia" w:ascii="宋体" w:hAnsi="宋体" w:cs="宋体"/>
          <w:kern w:val="0"/>
          <w:sz w:val="24"/>
        </w:rPr>
        <w:t>．消化结转和结余的对策。</w:t>
      </w:r>
    </w:p>
    <w:p>
      <w:pPr>
        <w:widowControl/>
        <w:spacing w:before="240" w:after="240"/>
        <w:ind w:left="420" w:leftChars="200"/>
        <w:jc w:val="left"/>
        <w:rPr>
          <w:rFonts w:ascii="宋体" w:cs="宋体"/>
          <w:kern w:val="0"/>
          <w:sz w:val="24"/>
        </w:rPr>
      </w:pPr>
      <w:r>
        <w:rPr>
          <w:rFonts w:hint="eastAsia" w:ascii="宋体" w:hAnsi="宋体" w:cs="宋体"/>
          <w:kern w:val="0"/>
          <w:sz w:val="24"/>
        </w:rPr>
        <w:t>没有。</w:t>
      </w:r>
    </w:p>
    <w:p>
      <w:pPr>
        <w:pStyle w:val="4"/>
        <w:keepNext w:val="0"/>
        <w:keepLines w:val="0"/>
        <w:widowControl/>
        <w:spacing w:before="281" w:after="281" w:line="240" w:lineRule="auto"/>
        <w:jc w:val="left"/>
        <w:rPr>
          <w:rFonts w:eastAsia="Times New Roman"/>
          <w:kern w:val="0"/>
          <w:sz w:val="28"/>
          <w:szCs w:val="28"/>
        </w:rPr>
      </w:pPr>
      <w:r>
        <w:rPr>
          <w:rFonts w:hint="eastAsia" w:ascii="宋体" w:hAnsi="宋体" w:cs="宋体"/>
          <w:kern w:val="0"/>
          <w:sz w:val="28"/>
          <w:szCs w:val="28"/>
        </w:rPr>
        <w:t>（四）与预算支出相关的其他指标分析。</w:t>
      </w:r>
    </w:p>
    <w:p>
      <w:pPr>
        <w:widowControl/>
        <w:spacing w:before="240" w:after="240"/>
        <w:jc w:val="left"/>
        <w:rPr>
          <w:rFonts w:ascii="宋体" w:cs="宋体"/>
          <w:kern w:val="0"/>
          <w:sz w:val="24"/>
        </w:rPr>
      </w:pPr>
      <w:r>
        <w:rPr>
          <w:rFonts w:eastAsia="Times New Roman"/>
          <w:kern w:val="0"/>
          <w:sz w:val="24"/>
        </w:rPr>
        <w:t>     </w:t>
      </w:r>
      <w:r>
        <w:rPr>
          <w:kern w:val="0"/>
          <w:sz w:val="24"/>
        </w:rPr>
        <w:t xml:space="preserve"> </w:t>
      </w:r>
      <w:r>
        <w:rPr>
          <w:rFonts w:hint="eastAsia" w:ascii="宋体" w:hAnsi="宋体" w:cs="宋体"/>
          <w:kern w:val="0"/>
          <w:sz w:val="24"/>
        </w:rPr>
        <w:t>对资产、负债信息进行分析，主要分析与上年度对比情况，包括增减绝对值与幅度，增减变动主要原因。</w:t>
      </w:r>
    </w:p>
    <w:p>
      <w:pPr>
        <w:widowControl/>
        <w:spacing w:before="240" w:after="240"/>
        <w:ind w:firstLine="480"/>
        <w:jc w:val="left"/>
        <w:rPr>
          <w:rFonts w:ascii="宋体" w:cs="宋体"/>
          <w:color w:val="FF00FF"/>
          <w:kern w:val="0"/>
          <w:sz w:val="24"/>
        </w:rPr>
      </w:pPr>
      <w:r>
        <w:rPr>
          <w:rFonts w:hint="eastAsia" w:ascii="宋体" w:hAnsi="宋体" w:cs="宋体"/>
          <w:kern w:val="0"/>
          <w:sz w:val="24"/>
        </w:rPr>
        <w:t>固定资产原值</w:t>
      </w:r>
      <w:r>
        <w:rPr>
          <w:rFonts w:ascii="宋体" w:hAnsi="宋体" w:cs="宋体"/>
          <w:kern w:val="0"/>
          <w:sz w:val="24"/>
        </w:rPr>
        <w:t>1325.12</w:t>
      </w:r>
      <w:r>
        <w:rPr>
          <w:rFonts w:hint="eastAsia" w:ascii="宋体" w:hAnsi="宋体" w:cs="宋体"/>
          <w:kern w:val="0"/>
          <w:sz w:val="24"/>
        </w:rPr>
        <w:t>万元，比上年</w:t>
      </w:r>
      <w:r>
        <w:rPr>
          <w:rFonts w:ascii="宋体" w:hAnsi="宋体" w:cs="宋体"/>
          <w:kern w:val="0"/>
          <w:sz w:val="24"/>
        </w:rPr>
        <w:t>437.80</w:t>
      </w:r>
      <w:r>
        <w:rPr>
          <w:rFonts w:hint="eastAsia" w:ascii="宋体" w:hAnsi="宋体" w:cs="宋体"/>
          <w:kern w:val="0"/>
          <w:sz w:val="24"/>
        </w:rPr>
        <w:t>万元增加</w:t>
      </w:r>
      <w:r>
        <w:rPr>
          <w:rFonts w:ascii="宋体" w:hAnsi="宋体" w:cs="宋体"/>
          <w:kern w:val="0"/>
          <w:sz w:val="24"/>
        </w:rPr>
        <w:t>887.32</w:t>
      </w:r>
      <w:r>
        <w:rPr>
          <w:rFonts w:hint="eastAsia" w:ascii="宋体" w:hAnsi="宋体" w:cs="宋体"/>
          <w:kern w:val="0"/>
          <w:sz w:val="24"/>
        </w:rPr>
        <w:t>万元增加</w:t>
      </w:r>
      <w:r>
        <w:rPr>
          <w:rFonts w:ascii="宋体" w:hAnsi="宋体" w:cs="宋体"/>
          <w:kern w:val="0"/>
          <w:sz w:val="24"/>
        </w:rPr>
        <w:t>202.68%</w:t>
      </w:r>
      <w:r>
        <w:rPr>
          <w:rFonts w:hint="eastAsia" w:ascii="宋体" w:hAnsi="宋体" w:cs="宋体"/>
          <w:kern w:val="0"/>
          <w:sz w:val="24"/>
        </w:rPr>
        <w:t>，主要是新馆开馆新购设备增加；固定资产累计折旧</w:t>
      </w:r>
      <w:r>
        <w:rPr>
          <w:rFonts w:ascii="宋体" w:hAnsi="宋体" w:cs="宋体"/>
          <w:kern w:val="0"/>
          <w:sz w:val="24"/>
        </w:rPr>
        <w:t>313.07</w:t>
      </w:r>
      <w:r>
        <w:rPr>
          <w:rFonts w:hint="eastAsia" w:ascii="宋体" w:hAnsi="宋体" w:cs="宋体"/>
          <w:kern w:val="0"/>
          <w:sz w:val="24"/>
        </w:rPr>
        <w:t>万元，比上年</w:t>
      </w:r>
      <w:r>
        <w:rPr>
          <w:rFonts w:ascii="宋体" w:hAnsi="宋体" w:cs="宋体"/>
          <w:kern w:val="0"/>
          <w:sz w:val="24"/>
        </w:rPr>
        <w:t>278.01</w:t>
      </w:r>
      <w:r>
        <w:rPr>
          <w:rFonts w:hint="eastAsia" w:ascii="宋体" w:hAnsi="宋体" w:cs="宋体"/>
          <w:kern w:val="0"/>
          <w:sz w:val="24"/>
        </w:rPr>
        <w:t>万元增加</w:t>
      </w:r>
      <w:r>
        <w:rPr>
          <w:rFonts w:ascii="宋体" w:hAnsi="宋体" w:cs="宋体"/>
          <w:kern w:val="0"/>
          <w:sz w:val="24"/>
        </w:rPr>
        <w:t>345.06</w:t>
      </w:r>
      <w:r>
        <w:rPr>
          <w:rFonts w:hint="eastAsia" w:ascii="宋体" w:hAnsi="宋体" w:cs="宋体"/>
          <w:kern w:val="0"/>
          <w:sz w:val="24"/>
        </w:rPr>
        <w:t>万元，增加</w:t>
      </w:r>
      <w:r>
        <w:rPr>
          <w:rFonts w:ascii="宋体" w:hAnsi="宋体" w:cs="宋体"/>
          <w:kern w:val="0"/>
          <w:sz w:val="24"/>
        </w:rPr>
        <w:t>12.61%</w:t>
      </w:r>
      <w:r>
        <w:rPr>
          <w:rFonts w:hint="eastAsia" w:ascii="宋体" w:hAnsi="宋体" w:cs="宋体"/>
          <w:kern w:val="0"/>
          <w:sz w:val="24"/>
        </w:rPr>
        <w:t>，属于正常折旧；净资产</w:t>
      </w:r>
      <w:r>
        <w:rPr>
          <w:rFonts w:ascii="宋体" w:hAnsi="宋体" w:cs="宋体"/>
          <w:kern w:val="0"/>
          <w:sz w:val="24"/>
        </w:rPr>
        <w:t>1012.06</w:t>
      </w:r>
      <w:r>
        <w:rPr>
          <w:rFonts w:hint="eastAsia" w:ascii="宋体" w:hAnsi="宋体" w:cs="宋体"/>
          <w:kern w:val="0"/>
          <w:sz w:val="24"/>
        </w:rPr>
        <w:t>万元，比上年增加</w:t>
      </w:r>
      <w:r>
        <w:rPr>
          <w:rFonts w:ascii="宋体" w:hAnsi="宋体" w:cs="宋体"/>
          <w:kern w:val="0"/>
          <w:sz w:val="24"/>
        </w:rPr>
        <w:t>533.33</w:t>
      </w:r>
      <w:r>
        <w:rPr>
          <w:rFonts w:hint="eastAsia" w:ascii="宋体" w:hAnsi="宋体" w:cs="宋体"/>
          <w:kern w:val="0"/>
          <w:sz w:val="24"/>
        </w:rPr>
        <w:t>万元，主要是新馆开馆新购设备增加；</w:t>
      </w:r>
    </w:p>
    <w:p>
      <w:pPr>
        <w:widowControl/>
        <w:spacing w:before="240" w:after="240"/>
        <w:jc w:val="left"/>
        <w:rPr>
          <w:rFonts w:ascii="宋体" w:cs="宋体"/>
          <w:kern w:val="0"/>
          <w:sz w:val="24"/>
        </w:rPr>
      </w:pPr>
      <w:r>
        <w:rPr>
          <w:rFonts w:ascii="宋体" w:cs="宋体"/>
          <w:color w:val="FF00FF"/>
          <w:kern w:val="0"/>
          <w:sz w:val="24"/>
        </w:rPr>
        <w:t xml:space="preserve">    </w:t>
      </w:r>
      <w:r>
        <w:rPr>
          <w:rFonts w:hint="eastAsia" w:ascii="宋体" w:cs="宋体"/>
          <w:kern w:val="0"/>
          <w:sz w:val="24"/>
        </w:rPr>
        <w:t>银行存款</w:t>
      </w:r>
      <w:r>
        <w:rPr>
          <w:rFonts w:ascii="宋体" w:cs="宋体"/>
          <w:kern w:val="0"/>
          <w:sz w:val="24"/>
        </w:rPr>
        <w:t>79.93</w:t>
      </w:r>
      <w:r>
        <w:rPr>
          <w:rFonts w:hint="eastAsia" w:ascii="宋体" w:cs="宋体"/>
          <w:kern w:val="0"/>
          <w:sz w:val="24"/>
        </w:rPr>
        <w:t>万元，与上年的</w:t>
      </w:r>
      <w:r>
        <w:rPr>
          <w:rFonts w:ascii="宋体" w:cs="宋体"/>
          <w:kern w:val="0"/>
          <w:sz w:val="24"/>
        </w:rPr>
        <w:t>3</w:t>
      </w:r>
      <w:r>
        <w:rPr>
          <w:rFonts w:hint="eastAsia" w:ascii="宋体" w:cs="宋体"/>
          <w:kern w:val="0"/>
          <w:sz w:val="24"/>
        </w:rPr>
        <w:t>万元相比增加了</w:t>
      </w:r>
      <w:r>
        <w:rPr>
          <w:rFonts w:ascii="宋体" w:cs="宋体"/>
          <w:kern w:val="0"/>
          <w:sz w:val="24"/>
        </w:rPr>
        <w:t>76.93</w:t>
      </w:r>
      <w:r>
        <w:rPr>
          <w:rFonts w:hint="eastAsia" w:ascii="宋体" w:cs="宋体"/>
          <w:kern w:val="0"/>
          <w:sz w:val="24"/>
        </w:rPr>
        <w:t>万元，增加了</w:t>
      </w:r>
      <w:r>
        <w:rPr>
          <w:rFonts w:ascii="宋体" w:cs="宋体"/>
          <w:kern w:val="0"/>
          <w:sz w:val="24"/>
        </w:rPr>
        <w:t>2564.33%</w:t>
      </w:r>
      <w:r>
        <w:rPr>
          <w:rFonts w:hint="eastAsia" w:ascii="宋体" w:cs="宋体"/>
          <w:kern w:val="0"/>
          <w:sz w:val="24"/>
        </w:rPr>
        <w:t>，主要是本年的银行存款全部是项目的质量和履约保证金。</w:t>
      </w:r>
    </w:p>
    <w:p>
      <w:pPr>
        <w:pStyle w:val="4"/>
        <w:keepNext w:val="0"/>
        <w:keepLines w:val="0"/>
        <w:widowControl/>
        <w:spacing w:before="281" w:after="281" w:line="240" w:lineRule="auto"/>
        <w:jc w:val="left"/>
        <w:rPr>
          <w:rFonts w:eastAsia="Times New Roman"/>
          <w:kern w:val="0"/>
          <w:sz w:val="28"/>
          <w:szCs w:val="28"/>
        </w:rPr>
      </w:pPr>
      <w:r>
        <w:rPr>
          <w:rFonts w:hint="eastAsia" w:ascii="宋体" w:hAnsi="宋体" w:cs="宋体"/>
          <w:kern w:val="0"/>
          <w:sz w:val="28"/>
          <w:szCs w:val="28"/>
        </w:rPr>
        <w:t>（五）绩效目标完成情况。</w:t>
      </w:r>
    </w:p>
    <w:p>
      <w:pPr>
        <w:widowControl/>
        <w:spacing w:before="240" w:after="240"/>
        <w:jc w:val="left"/>
        <w:rPr>
          <w:rFonts w:hint="eastAsia" w:ascii="宋体" w:hAnsi="宋体" w:cs="宋体"/>
          <w:kern w:val="0"/>
          <w:sz w:val="24"/>
        </w:rPr>
      </w:pPr>
      <w:r>
        <w:rPr>
          <w:rFonts w:eastAsia="Times New Roman"/>
          <w:kern w:val="0"/>
          <w:sz w:val="24"/>
        </w:rPr>
        <w:t>        1.</w:t>
      </w:r>
      <w:r>
        <w:rPr>
          <w:rFonts w:hint="eastAsia" w:ascii="宋体" w:hAnsi="宋体" w:cs="宋体"/>
          <w:kern w:val="0"/>
          <w:sz w:val="24"/>
        </w:rPr>
        <w:t>概述项目绩效目标完成情况。</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⑴“科普+文化”科普图书屋项目：目标1：完成图书屋采购设备16套、图书屋图书采购1批（372册）；开展青少年读书分享会、读书班活动3次；开展科普征文活动1次。目标2：逐步提高儿童、青少年以及社会民众的科学素质。目标3：完成68500元。</w:t>
      </w:r>
    </w:p>
    <w:p>
      <w:pPr>
        <w:widowControl/>
        <w:spacing w:before="240" w:after="240"/>
        <w:ind w:firstLine="480"/>
        <w:jc w:val="left"/>
        <w:rPr>
          <w:rFonts w:hint="default" w:ascii="宋体" w:hAnsi="宋体" w:cs="宋体"/>
          <w:kern w:val="0"/>
          <w:sz w:val="24"/>
          <w:lang w:val="en-US" w:eastAsia="zh-CN"/>
        </w:rPr>
      </w:pPr>
      <w:r>
        <w:rPr>
          <w:rFonts w:hint="eastAsia" w:ascii="宋体" w:hAnsi="宋体" w:cs="宋体"/>
          <w:kern w:val="0"/>
          <w:sz w:val="24"/>
          <w:lang w:val="en-US" w:eastAsia="zh-CN"/>
        </w:rPr>
        <w:t>⑵</w:t>
      </w:r>
      <w:r>
        <w:rPr>
          <w:rFonts w:hint="default" w:ascii="宋体" w:hAnsi="宋体" w:cs="宋体"/>
          <w:kern w:val="0"/>
          <w:sz w:val="24"/>
          <w:lang w:val="en-US" w:eastAsia="zh-CN"/>
        </w:rPr>
        <w:t>科技馆展教展品资源建设</w:t>
      </w:r>
      <w:r>
        <w:rPr>
          <w:rFonts w:hint="eastAsia" w:ascii="宋体" w:hAnsi="宋体" w:cs="宋体"/>
          <w:kern w:val="0"/>
          <w:sz w:val="24"/>
          <w:lang w:val="en-US" w:eastAsia="zh-CN"/>
        </w:rPr>
        <w:t xml:space="preserve">项目：目标1：展示当下最新的机器人与人工智能技术成果，展望未来的智能时代中人与机器、人与人的关系，参观体验人数达到3000人次。目标2：实现展教结合，启迪、激发青少年对科技知识的探索欲与创造力，采购机器人6台。目标3：提升全民科学素质和树立良好的城市文化形象，完成采购资金1291000元。 </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⑶</w:t>
      </w:r>
      <w:r>
        <w:rPr>
          <w:rFonts w:hint="default" w:ascii="宋体" w:hAnsi="宋体" w:cs="宋体"/>
          <w:kern w:val="0"/>
          <w:sz w:val="24"/>
          <w:lang w:val="en-US" w:eastAsia="zh-CN"/>
        </w:rPr>
        <w:t>《律动世界—化学元素周期表》主题展览</w:t>
      </w:r>
      <w:r>
        <w:rPr>
          <w:rFonts w:hint="eastAsia" w:ascii="宋体" w:hAnsi="宋体" w:cs="宋体"/>
          <w:kern w:val="0"/>
          <w:sz w:val="24"/>
          <w:lang w:val="en-US" w:eastAsia="zh-CN"/>
        </w:rPr>
        <w:t>：</w:t>
      </w:r>
      <w:r>
        <w:rPr>
          <w:rFonts w:hint="default" w:ascii="宋体" w:hAnsi="宋体" w:cs="宋体"/>
          <w:kern w:val="0"/>
          <w:sz w:val="24"/>
          <w:lang w:val="en-US" w:eastAsia="zh-CN"/>
        </w:rPr>
        <w:t>目标1：完成了布展展项70件，能够向公众普及化学元素及元素周期律相关知识，引导公众思考“准确把握规律”在认识和改造世界过程中的意义和作用的任务目标2：完成了律动世界项目展项展出5天，采取科学表演、动手实验等丰富多彩的形式，向公众传播化学元素相关知识，激发公众对化学的热情和兴趣，并提升公众对科学发展过程、科学方法以及科学精神的认同感，达到了预期效果</w:t>
      </w:r>
      <w:r>
        <w:rPr>
          <w:rFonts w:hint="eastAsia" w:ascii="宋体" w:hAnsi="宋体" w:cs="宋体"/>
          <w:kern w:val="0"/>
          <w:sz w:val="24"/>
          <w:lang w:val="en-US" w:eastAsia="zh-CN"/>
        </w:rPr>
        <w:t>，</w:t>
      </w:r>
      <w:r>
        <w:rPr>
          <w:rFonts w:hint="default" w:ascii="宋体" w:hAnsi="宋体" w:cs="宋体"/>
          <w:kern w:val="0"/>
          <w:sz w:val="24"/>
          <w:lang w:val="en-US" w:eastAsia="zh-CN"/>
        </w:rPr>
        <w:t>完成项目资金共计40</w:t>
      </w:r>
      <w:r>
        <w:rPr>
          <w:rFonts w:hint="eastAsia" w:ascii="宋体" w:hAnsi="宋体" w:cs="宋体"/>
          <w:kern w:val="0"/>
          <w:sz w:val="24"/>
          <w:lang w:val="en-US" w:eastAsia="zh-CN"/>
        </w:rPr>
        <w:t>0000</w:t>
      </w:r>
      <w:r>
        <w:rPr>
          <w:rFonts w:hint="default" w:ascii="宋体" w:hAnsi="宋体" w:cs="宋体"/>
          <w:kern w:val="0"/>
          <w:sz w:val="24"/>
          <w:lang w:val="en-US" w:eastAsia="zh-CN"/>
        </w:rPr>
        <w:t>元</w:t>
      </w:r>
      <w:r>
        <w:rPr>
          <w:rFonts w:hint="eastAsia" w:ascii="宋体" w:hAnsi="宋体" w:cs="宋体"/>
          <w:kern w:val="0"/>
          <w:sz w:val="24"/>
          <w:lang w:val="en-US" w:eastAsia="zh-CN"/>
        </w:rPr>
        <w:t>。</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⑷科普活动项目暨 “助力乡村振兴”科普万里行项目：完成大篷车巡展活动32次、组织举办科技培训6场、印制科普资料2500册、使用资金30000元，完成率100%；农牧民、中小学生、社区居民科学素质到逐步提高，满意度达到90%左右。</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⑸</w:t>
      </w:r>
      <w:r>
        <w:rPr>
          <w:rFonts w:hint="default" w:ascii="宋体" w:hAnsi="宋体" w:cs="宋体"/>
          <w:kern w:val="0"/>
          <w:sz w:val="24"/>
          <w:lang w:val="en-US" w:eastAsia="zh-CN"/>
        </w:rPr>
        <w:t>通辽市科学技术馆展教展品项目</w:t>
      </w:r>
      <w:r>
        <w:rPr>
          <w:rFonts w:hint="eastAsia" w:ascii="宋体" w:hAnsi="宋体" w:cs="宋体"/>
          <w:kern w:val="0"/>
          <w:sz w:val="24"/>
          <w:lang w:val="en-US" w:eastAsia="zh-CN"/>
        </w:rPr>
        <w:t>：目标1：“培养好奇心，激发探索欲，关注健康成长” ，少儿科普展厅互动3000人；目标2：实现展教结合，寓教于乐，启迪、激发学生对科技知识的探索欲与创造力，提升全民科学素质，完成采购设备4套，采购金额7600000元。</w:t>
      </w:r>
    </w:p>
    <w:p>
      <w:pPr>
        <w:widowControl/>
        <w:spacing w:before="240" w:after="240"/>
        <w:ind w:firstLine="480"/>
        <w:jc w:val="left"/>
        <w:rPr>
          <w:rFonts w:hint="default" w:ascii="宋体" w:hAnsi="宋体" w:cs="宋体"/>
          <w:kern w:val="0"/>
          <w:sz w:val="24"/>
          <w:lang w:val="en-US" w:eastAsia="zh-CN"/>
        </w:rPr>
      </w:pPr>
      <w:r>
        <w:rPr>
          <w:rFonts w:hint="eastAsia" w:ascii="宋体" w:hAnsi="宋体" w:cs="宋体"/>
          <w:kern w:val="0"/>
          <w:sz w:val="24"/>
          <w:lang w:val="en-US" w:eastAsia="zh-CN"/>
        </w:rPr>
        <w:t>⑹科普活动经费项目：目标1：提高青少年对机器人的认知，组织竞赛1场、青少年科技创新大赛1场完；目标2：馆校结合科普进校园增强教育理念；目标3：普及城乡科普知识提高城乡居民科学素质，科普大篷车巡展28场次完成140%、流动科技馆巡展4个旗县科普画廊宣传更新7次，完成经费共359256.68元。</w:t>
      </w:r>
    </w:p>
    <w:p>
      <w:pPr>
        <w:widowControl/>
        <w:numPr>
          <w:ilvl w:val="0"/>
          <w:numId w:val="1"/>
        </w:numPr>
        <w:spacing w:before="240" w:after="240"/>
        <w:ind w:left="0" w:leftChars="0" w:firstLine="480" w:firstLineChars="200"/>
        <w:jc w:val="left"/>
        <w:rPr>
          <w:rFonts w:hint="eastAsia" w:ascii="宋体" w:hAnsi="宋体" w:cs="宋体"/>
          <w:kern w:val="0"/>
          <w:sz w:val="24"/>
        </w:rPr>
      </w:pPr>
      <w:r>
        <w:rPr>
          <w:rFonts w:hint="eastAsia" w:ascii="宋体" w:hAnsi="宋体" w:cs="宋体"/>
          <w:kern w:val="0"/>
          <w:sz w:val="24"/>
        </w:rPr>
        <w:t>概述本单位整体支出绩效目标实现情况（如有）。</w:t>
      </w:r>
    </w:p>
    <w:p>
      <w:pPr>
        <w:widowControl/>
        <w:numPr>
          <w:ilvl w:val="0"/>
          <w:numId w:val="0"/>
        </w:numPr>
        <w:spacing w:before="240" w:after="240"/>
        <w:ind w:leftChars="200"/>
        <w:jc w:val="left"/>
        <w:rPr>
          <w:rFonts w:hint="eastAsia" w:ascii="宋体" w:hAnsi="宋体" w:eastAsia="宋体" w:cs="宋体"/>
          <w:kern w:val="0"/>
          <w:sz w:val="24"/>
          <w:lang w:eastAsia="zh-CN"/>
        </w:rPr>
      </w:pPr>
      <w:r>
        <w:rPr>
          <w:rFonts w:hint="eastAsia" w:ascii="宋体" w:hAnsi="宋体" w:cs="宋体"/>
          <w:kern w:val="0"/>
          <w:sz w:val="24"/>
          <w:lang w:eastAsia="zh-CN"/>
        </w:rPr>
        <w:t>没有。</w:t>
      </w:r>
    </w:p>
    <w:p>
      <w:pPr>
        <w:pStyle w:val="4"/>
        <w:keepNext w:val="0"/>
        <w:keepLines w:val="0"/>
        <w:widowControl/>
        <w:numPr>
          <w:ilvl w:val="0"/>
          <w:numId w:val="0"/>
        </w:numPr>
        <w:spacing w:before="281" w:after="281" w:line="240" w:lineRule="auto"/>
        <w:ind w:firstLine="281" w:firstLineChars="100"/>
        <w:jc w:val="left"/>
        <w:rPr>
          <w:rFonts w:hint="eastAsia" w:ascii="宋体" w:hAnsi="宋体" w:cs="宋体"/>
          <w:kern w:val="0"/>
          <w:sz w:val="28"/>
          <w:szCs w:val="28"/>
        </w:rPr>
      </w:pPr>
      <w:r>
        <w:rPr>
          <w:rFonts w:hint="eastAsia" w:ascii="宋体" w:hAnsi="宋体" w:cs="宋体"/>
          <w:kern w:val="0"/>
          <w:sz w:val="28"/>
          <w:szCs w:val="28"/>
        </w:rPr>
        <w:t>（</w:t>
      </w:r>
      <w:r>
        <w:rPr>
          <w:rFonts w:hint="eastAsia" w:ascii="宋体" w:hAnsi="宋体" w:cs="宋体"/>
          <w:kern w:val="0"/>
          <w:sz w:val="28"/>
          <w:szCs w:val="28"/>
          <w:lang w:eastAsia="zh-CN"/>
        </w:rPr>
        <w:t>六</w:t>
      </w:r>
      <w:r>
        <w:rPr>
          <w:rFonts w:hint="eastAsia" w:ascii="宋体" w:hAnsi="宋体" w:cs="宋体"/>
          <w:kern w:val="0"/>
          <w:sz w:val="28"/>
          <w:szCs w:val="28"/>
        </w:rPr>
        <w:t>）当年预算执行及绩效管理中存在问题、原因及改进措施。</w:t>
      </w:r>
    </w:p>
    <w:p>
      <w:pPr>
        <w:numPr>
          <w:ilvl w:val="0"/>
          <w:numId w:val="0"/>
        </w:numPr>
        <w:rPr>
          <w:rFonts w:hint="default" w:eastAsia="宋体"/>
          <w:lang w:val="en-US" w:eastAsia="zh-CN"/>
        </w:rPr>
      </w:pPr>
      <w:r>
        <w:rPr>
          <w:rFonts w:hint="eastAsia"/>
          <w:lang w:val="en-US" w:eastAsia="zh-CN"/>
        </w:rPr>
        <w:t xml:space="preserve">    没有。</w:t>
      </w:r>
    </w:p>
    <w:p>
      <w:pPr>
        <w:pStyle w:val="3"/>
        <w:keepNext w:val="0"/>
        <w:keepLines w:val="0"/>
        <w:widowControl/>
        <w:spacing w:before="299" w:after="299" w:line="240" w:lineRule="auto"/>
        <w:ind w:firstLine="361" w:firstLineChars="100"/>
        <w:jc w:val="left"/>
        <w:rPr>
          <w:rFonts w:ascii="Times New Roman" w:hAnsi="Times New Roman"/>
          <w:kern w:val="0"/>
          <w:sz w:val="36"/>
          <w:szCs w:val="36"/>
        </w:rPr>
      </w:pPr>
      <w:r>
        <w:rPr>
          <w:rFonts w:hint="eastAsia" w:ascii="宋体" w:hAnsi="宋体" w:eastAsia="宋体" w:cs="宋体"/>
          <w:kern w:val="0"/>
          <w:sz w:val="36"/>
          <w:szCs w:val="36"/>
        </w:rPr>
        <w:t>三、本年度部门决算等财务工作开展情况</w:t>
      </w:r>
    </w:p>
    <w:p>
      <w:pPr>
        <w:widowControl/>
        <w:spacing w:before="240" w:after="240"/>
        <w:jc w:val="left"/>
        <w:rPr>
          <w:rFonts w:hint="eastAsia" w:ascii="宋体" w:hAnsi="宋体" w:cs="宋体"/>
          <w:kern w:val="0"/>
          <w:sz w:val="24"/>
        </w:rPr>
      </w:pPr>
      <w:r>
        <w:rPr>
          <w:rFonts w:eastAsia="Times New Roman"/>
          <w:kern w:val="0"/>
          <w:sz w:val="24"/>
        </w:rPr>
        <w:t>     </w:t>
      </w:r>
      <w:r>
        <w:rPr>
          <w:rFonts w:hint="eastAsia" w:ascii="宋体" w:hAnsi="宋体" w:cs="宋体"/>
          <w:kern w:val="0"/>
          <w:sz w:val="24"/>
        </w:rPr>
        <w:t>（一）本单位财务管理、绩效管理、决算组织、编报、审核情况。</w:t>
      </w:r>
    </w:p>
    <w:p>
      <w:pPr>
        <w:widowControl/>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本单位认真执行财务管理制度，严格按照主管部门和财政业务主管科室的要求做好每项工作，遇到问题及时请教解决，同财政部门及时沟通，积极进行财政部门组织的决算、编报、审核等方面工作按时完成，认真如实填报，努力完成决算编报工作。</w:t>
      </w:r>
    </w:p>
    <w:p>
      <w:pPr>
        <w:widowControl/>
        <w:spacing w:before="240" w:after="240"/>
        <w:jc w:val="left"/>
        <w:rPr>
          <w:rFonts w:hint="eastAsia" w:ascii="宋体" w:hAnsi="宋体" w:cs="宋体"/>
          <w:kern w:val="0"/>
          <w:sz w:val="24"/>
        </w:rPr>
      </w:pPr>
      <w:r>
        <w:rPr>
          <w:rFonts w:eastAsia="Times New Roman"/>
          <w:kern w:val="0"/>
          <w:sz w:val="24"/>
        </w:rPr>
        <w:t>     </w:t>
      </w:r>
      <w:r>
        <w:rPr>
          <w:rFonts w:hint="eastAsia" w:ascii="宋体" w:hAnsi="宋体" w:cs="宋体"/>
          <w:kern w:val="0"/>
          <w:sz w:val="24"/>
        </w:rPr>
        <w:t>（二）本单位决算及绩效信息公开工作开展情况。</w:t>
      </w:r>
    </w:p>
    <w:p>
      <w:pPr>
        <w:widowControl/>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决算的各项工作按规定认真执行，该填制及时填制，该公开及时公开，该上报及时上报。</w:t>
      </w:r>
    </w:p>
    <w:p>
      <w:pPr>
        <w:widowControl/>
        <w:spacing w:before="240" w:after="240"/>
        <w:jc w:val="left"/>
        <w:rPr>
          <w:rFonts w:eastAsia="Times New Roman"/>
          <w:kern w:val="0"/>
          <w:sz w:val="24"/>
        </w:rPr>
      </w:pPr>
      <w:r>
        <w:rPr>
          <w:rFonts w:eastAsia="Times New Roman"/>
          <w:kern w:val="0"/>
          <w:sz w:val="24"/>
        </w:rPr>
        <w:t>     </w:t>
      </w:r>
      <w:r>
        <w:rPr>
          <w:rFonts w:hint="eastAsia" w:ascii="宋体" w:hAnsi="宋体" w:cs="宋体"/>
          <w:kern w:val="0"/>
          <w:sz w:val="24"/>
        </w:rPr>
        <w:t>（三）对部门决算管理工作的意见和建议。</w:t>
      </w:r>
    </w:p>
    <w:p>
      <w:pPr>
        <w:widowControl/>
        <w:spacing w:before="240" w:after="240"/>
        <w:ind w:firstLine="480" w:firstLineChars="200"/>
        <w:jc w:val="left"/>
        <w:rPr>
          <w:rFonts w:hint="eastAsia" w:ascii="宋体" w:hAnsi="宋体" w:cs="宋体"/>
          <w:kern w:val="0"/>
          <w:sz w:val="24"/>
        </w:rPr>
      </w:pPr>
      <w:r>
        <w:rPr>
          <w:rFonts w:eastAsia="Times New Roman"/>
          <w:kern w:val="0"/>
          <w:sz w:val="24"/>
        </w:rPr>
        <w:t>1.</w:t>
      </w:r>
      <w:r>
        <w:rPr>
          <w:rFonts w:hint="eastAsia" w:ascii="宋体" w:hAnsi="宋体" w:cs="宋体"/>
          <w:kern w:val="0"/>
          <w:sz w:val="24"/>
        </w:rPr>
        <w:t>自行增加的审核公式和模板，请说明设置依据。</w:t>
      </w:r>
    </w:p>
    <w:p>
      <w:pPr>
        <w:widowControl/>
        <w:spacing w:before="240" w:after="240"/>
        <w:ind w:firstLine="480" w:firstLineChars="200"/>
        <w:jc w:val="left"/>
        <w:rPr>
          <w:rFonts w:hint="eastAsia" w:ascii="宋体" w:hAnsi="宋体" w:eastAsia="宋体" w:cs="宋体"/>
          <w:kern w:val="0"/>
          <w:sz w:val="24"/>
          <w:lang w:eastAsia="zh-CN"/>
        </w:rPr>
      </w:pPr>
      <w:r>
        <w:rPr>
          <w:rFonts w:hint="eastAsia" w:ascii="宋体" w:hAnsi="宋体" w:cs="宋体"/>
          <w:kern w:val="0"/>
          <w:sz w:val="24"/>
          <w:lang w:eastAsia="zh-CN"/>
        </w:rPr>
        <w:t>没有。</w:t>
      </w:r>
    </w:p>
    <w:p>
      <w:pPr>
        <w:widowControl/>
        <w:spacing w:before="240" w:after="240"/>
        <w:ind w:firstLine="480" w:firstLineChars="200"/>
        <w:jc w:val="left"/>
        <w:rPr>
          <w:rFonts w:hint="eastAsia" w:ascii="宋体" w:hAnsi="宋体" w:cs="宋体"/>
          <w:kern w:val="0"/>
          <w:sz w:val="24"/>
        </w:rPr>
      </w:pPr>
      <w:r>
        <w:rPr>
          <w:rFonts w:eastAsia="Times New Roman"/>
          <w:kern w:val="0"/>
          <w:sz w:val="24"/>
        </w:rPr>
        <w:t>2.</w:t>
      </w:r>
      <w:r>
        <w:rPr>
          <w:rFonts w:hint="eastAsia" w:ascii="宋体" w:hAnsi="宋体" w:cs="宋体"/>
          <w:kern w:val="0"/>
          <w:sz w:val="24"/>
        </w:rPr>
        <w:t>对部门决算报表修订设计的意见和建议，包括表样、指标设置、软件、审核公式、模板和编审问答等，请列出并说明修改意见。</w:t>
      </w:r>
    </w:p>
    <w:p>
      <w:pPr>
        <w:widowControl/>
        <w:spacing w:before="240" w:after="240"/>
        <w:ind w:firstLine="480" w:firstLineChars="200"/>
        <w:jc w:val="left"/>
        <w:rPr>
          <w:rFonts w:hint="eastAsia" w:ascii="宋体" w:hAnsi="宋体" w:eastAsia="宋体" w:cs="宋体"/>
          <w:kern w:val="0"/>
          <w:sz w:val="24"/>
          <w:lang w:eastAsia="zh-CN"/>
        </w:rPr>
      </w:pPr>
      <w:r>
        <w:rPr>
          <w:rFonts w:hint="eastAsia" w:ascii="宋体" w:hAnsi="宋体" w:cs="宋体"/>
          <w:kern w:val="0"/>
          <w:sz w:val="24"/>
          <w:lang w:eastAsia="zh-CN"/>
        </w:rPr>
        <w:t>没有。</w:t>
      </w:r>
    </w:p>
    <w:p>
      <w:pPr>
        <w:widowControl/>
        <w:spacing w:before="240" w:after="240"/>
        <w:ind w:firstLine="480" w:firstLineChars="200"/>
        <w:jc w:val="left"/>
        <w:rPr>
          <w:rFonts w:hint="eastAsia" w:ascii="宋体" w:hAnsi="宋体" w:cs="宋体"/>
          <w:kern w:val="0"/>
          <w:sz w:val="24"/>
        </w:rPr>
      </w:pPr>
      <w:r>
        <w:rPr>
          <w:rFonts w:eastAsia="Times New Roman"/>
          <w:kern w:val="0"/>
          <w:sz w:val="24"/>
        </w:rPr>
        <w:t>3.</w:t>
      </w:r>
      <w:r>
        <w:rPr>
          <w:rFonts w:hint="eastAsia" w:ascii="宋体" w:hAnsi="宋体" w:cs="宋体"/>
          <w:kern w:val="0"/>
          <w:sz w:val="24"/>
        </w:rPr>
        <w:t>对部门决算其他管理工作的建议。例如对加强部门决算数据分析利用工作、部门决算信息化建设等建议。</w:t>
      </w:r>
    </w:p>
    <w:p>
      <w:pPr>
        <w:widowControl/>
        <w:spacing w:before="240" w:after="240"/>
        <w:ind w:firstLine="480" w:firstLineChars="200"/>
        <w:jc w:val="left"/>
        <w:rPr>
          <w:rFonts w:hint="eastAsia" w:ascii="宋体" w:hAnsi="宋体" w:eastAsia="宋体" w:cs="宋体"/>
          <w:kern w:val="0"/>
          <w:sz w:val="24"/>
          <w:lang w:eastAsia="zh-CN"/>
        </w:rPr>
      </w:pPr>
      <w:r>
        <w:rPr>
          <w:rFonts w:hint="eastAsia" w:ascii="宋体" w:hAnsi="宋体" w:cs="宋体"/>
          <w:kern w:val="0"/>
          <w:sz w:val="24"/>
          <w:lang w:eastAsia="zh-CN"/>
        </w:rPr>
        <w:t>没有。</w:t>
      </w: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bookmarkEnd w:id="0"/>
    <w:p>
      <w:pPr>
        <w:adjustRightInd w:val="0"/>
        <w:snapToGrid w:val="0"/>
        <w:rPr>
          <w:rFonts w:ascii="宋体"/>
          <w:b/>
          <w:sz w:val="32"/>
          <w:szCs w:val="32"/>
        </w:rPr>
      </w:pPr>
    </w:p>
    <w:p>
      <w:pPr>
        <w:adjustRightInd w:val="0"/>
        <w:snapToGrid w:val="0"/>
        <w:rPr>
          <w:rFonts w:ascii="宋体"/>
          <w:b/>
          <w:sz w:val="32"/>
          <w:szCs w:val="32"/>
        </w:rPr>
      </w:pPr>
    </w:p>
    <w:p>
      <w:pPr>
        <w:tabs>
          <w:tab w:val="left" w:pos="8415"/>
        </w:tabs>
      </w:pPr>
    </w:p>
    <w:sectPr>
      <w:footerReference r:id="rId9"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cs="宋体"/>
        <w:sz w:val="18"/>
      </w:rPr>
      <w:fldChar w:fldCharType="begin"/>
    </w:r>
    <w:r>
      <w:rPr>
        <w:rFonts w:ascii="宋体" w:hAnsi="宋体" w:cs="宋体"/>
        <w:sz w:val="18"/>
      </w:rPr>
      <w:instrText xml:space="preserve"> PAGE </w:instrText>
    </w:r>
    <w:r>
      <w:rPr>
        <w:rFonts w:ascii="宋体" w:hAnsi="宋体" w:cs="宋体"/>
        <w:sz w:val="18"/>
      </w:rPr>
      <w:fldChar w:fldCharType="separate"/>
    </w:r>
    <w:r>
      <w:rPr>
        <w:rFonts w:ascii="宋体" w:hAnsi="宋体" w:cs="宋体"/>
        <w:sz w:val="18"/>
      </w:rPr>
      <w:t>1</w:t>
    </w:r>
    <w:r>
      <w:rPr>
        <w:rFonts w:ascii="宋体" w:hAnsi="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6</w:t>
    </w:r>
    <w:r>
      <w:rPr>
        <w:lang w:val="zh-CN"/>
      </w:rP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751F8D"/>
    <w:multiLevelType w:val="singleLevel"/>
    <w:tmpl w:val="B0751F8D"/>
    <w:lvl w:ilvl="0" w:tentative="0">
      <w:start w:val="2"/>
      <w:numFmt w:val="decimal"/>
      <w:suff w:val="nothing"/>
      <w:lvlText w:val="（%1）"/>
      <w:lvlJc w:val="left"/>
      <w:pPr>
        <w:ind w:left="420"/>
      </w:pPr>
      <w:rPr>
        <w:rFonts w:cs="Times New Roman"/>
      </w:rPr>
    </w:lvl>
  </w:abstractNum>
  <w:abstractNum w:abstractNumId="1">
    <w:nsid w:val="0E00AC63"/>
    <w:multiLevelType w:val="singleLevel"/>
    <w:tmpl w:val="0E00AC63"/>
    <w:lvl w:ilvl="0" w:tentative="0">
      <w:start w:val="1"/>
      <w:numFmt w:val="decimal"/>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kNzVmM2FmMjZhYmYyODk2MWMyMjdhODY5Yzg4NWIifQ=="/>
  </w:docVars>
  <w:rsids>
    <w:rsidRoot w:val="009F0536"/>
    <w:rsid w:val="0000662F"/>
    <w:rsid w:val="00023E75"/>
    <w:rsid w:val="00033C6A"/>
    <w:rsid w:val="00063AC2"/>
    <w:rsid w:val="000774F0"/>
    <w:rsid w:val="0008308B"/>
    <w:rsid w:val="00097269"/>
    <w:rsid w:val="000A769F"/>
    <w:rsid w:val="000D3889"/>
    <w:rsid w:val="000E1406"/>
    <w:rsid w:val="0010682D"/>
    <w:rsid w:val="00137261"/>
    <w:rsid w:val="001620BF"/>
    <w:rsid w:val="001814D4"/>
    <w:rsid w:val="00183373"/>
    <w:rsid w:val="00197F5B"/>
    <w:rsid w:val="001E7634"/>
    <w:rsid w:val="00204509"/>
    <w:rsid w:val="00225D2E"/>
    <w:rsid w:val="00233241"/>
    <w:rsid w:val="00280532"/>
    <w:rsid w:val="00297C52"/>
    <w:rsid w:val="002A1572"/>
    <w:rsid w:val="00300987"/>
    <w:rsid w:val="0030784F"/>
    <w:rsid w:val="00312846"/>
    <w:rsid w:val="00312DD9"/>
    <w:rsid w:val="00343076"/>
    <w:rsid w:val="00367870"/>
    <w:rsid w:val="00375E79"/>
    <w:rsid w:val="00383EDC"/>
    <w:rsid w:val="003A4E85"/>
    <w:rsid w:val="003B3EAA"/>
    <w:rsid w:val="003C14BC"/>
    <w:rsid w:val="003F1A73"/>
    <w:rsid w:val="00406272"/>
    <w:rsid w:val="004659C9"/>
    <w:rsid w:val="00482D36"/>
    <w:rsid w:val="00490629"/>
    <w:rsid w:val="0049507B"/>
    <w:rsid w:val="004A738F"/>
    <w:rsid w:val="004B1589"/>
    <w:rsid w:val="004B721F"/>
    <w:rsid w:val="004D2704"/>
    <w:rsid w:val="004D7065"/>
    <w:rsid w:val="004E06FF"/>
    <w:rsid w:val="004E0B6C"/>
    <w:rsid w:val="005011E1"/>
    <w:rsid w:val="0051384E"/>
    <w:rsid w:val="00521603"/>
    <w:rsid w:val="00536012"/>
    <w:rsid w:val="0054657E"/>
    <w:rsid w:val="0059054F"/>
    <w:rsid w:val="00596608"/>
    <w:rsid w:val="005B4139"/>
    <w:rsid w:val="005C13AB"/>
    <w:rsid w:val="00667493"/>
    <w:rsid w:val="00697CF1"/>
    <w:rsid w:val="006C017F"/>
    <w:rsid w:val="006E7255"/>
    <w:rsid w:val="006F0B2F"/>
    <w:rsid w:val="007003B2"/>
    <w:rsid w:val="007402A0"/>
    <w:rsid w:val="00762248"/>
    <w:rsid w:val="00785250"/>
    <w:rsid w:val="00787000"/>
    <w:rsid w:val="007927C1"/>
    <w:rsid w:val="007A7BA5"/>
    <w:rsid w:val="007B6706"/>
    <w:rsid w:val="007C1FDD"/>
    <w:rsid w:val="007D6292"/>
    <w:rsid w:val="00857D98"/>
    <w:rsid w:val="00892185"/>
    <w:rsid w:val="00894C48"/>
    <w:rsid w:val="00896385"/>
    <w:rsid w:val="008A10DB"/>
    <w:rsid w:val="008B5455"/>
    <w:rsid w:val="008C280A"/>
    <w:rsid w:val="009011EF"/>
    <w:rsid w:val="009125DD"/>
    <w:rsid w:val="00954CD9"/>
    <w:rsid w:val="009A5EF3"/>
    <w:rsid w:val="009B62AB"/>
    <w:rsid w:val="009D6904"/>
    <w:rsid w:val="009E1EE8"/>
    <w:rsid w:val="009E227B"/>
    <w:rsid w:val="009E308A"/>
    <w:rsid w:val="009F0536"/>
    <w:rsid w:val="00A147CF"/>
    <w:rsid w:val="00A270BE"/>
    <w:rsid w:val="00A36C1D"/>
    <w:rsid w:val="00A517A0"/>
    <w:rsid w:val="00A62486"/>
    <w:rsid w:val="00AB013A"/>
    <w:rsid w:val="00AC29A1"/>
    <w:rsid w:val="00AD11A5"/>
    <w:rsid w:val="00AE47F5"/>
    <w:rsid w:val="00AF5F33"/>
    <w:rsid w:val="00B06FE8"/>
    <w:rsid w:val="00B27D51"/>
    <w:rsid w:val="00B32BEE"/>
    <w:rsid w:val="00B373AF"/>
    <w:rsid w:val="00B4208A"/>
    <w:rsid w:val="00B57D7A"/>
    <w:rsid w:val="00B76620"/>
    <w:rsid w:val="00B840CE"/>
    <w:rsid w:val="00B96C3D"/>
    <w:rsid w:val="00BA7003"/>
    <w:rsid w:val="00BC597C"/>
    <w:rsid w:val="00BD0928"/>
    <w:rsid w:val="00BE5F73"/>
    <w:rsid w:val="00BF4228"/>
    <w:rsid w:val="00C07A30"/>
    <w:rsid w:val="00C1520A"/>
    <w:rsid w:val="00C352FF"/>
    <w:rsid w:val="00C4037D"/>
    <w:rsid w:val="00C44231"/>
    <w:rsid w:val="00C4718F"/>
    <w:rsid w:val="00CC6B8B"/>
    <w:rsid w:val="00CD3751"/>
    <w:rsid w:val="00CE6588"/>
    <w:rsid w:val="00D2051A"/>
    <w:rsid w:val="00D96390"/>
    <w:rsid w:val="00DC3E01"/>
    <w:rsid w:val="00E219E7"/>
    <w:rsid w:val="00E25DBC"/>
    <w:rsid w:val="00E60D6A"/>
    <w:rsid w:val="00E73321"/>
    <w:rsid w:val="00E77EC0"/>
    <w:rsid w:val="00E914C1"/>
    <w:rsid w:val="00E97C37"/>
    <w:rsid w:val="00EE533B"/>
    <w:rsid w:val="00F04882"/>
    <w:rsid w:val="00F63327"/>
    <w:rsid w:val="00F80A29"/>
    <w:rsid w:val="00F8707D"/>
    <w:rsid w:val="00FA7CA5"/>
    <w:rsid w:val="00FD08EC"/>
    <w:rsid w:val="00FD7690"/>
    <w:rsid w:val="03B72D07"/>
    <w:rsid w:val="03EF7C67"/>
    <w:rsid w:val="05C173E2"/>
    <w:rsid w:val="0849203C"/>
    <w:rsid w:val="089A0B4F"/>
    <w:rsid w:val="08BB45BC"/>
    <w:rsid w:val="08D00067"/>
    <w:rsid w:val="08E43B13"/>
    <w:rsid w:val="09084246"/>
    <w:rsid w:val="09373735"/>
    <w:rsid w:val="09A8746E"/>
    <w:rsid w:val="0A8C4462"/>
    <w:rsid w:val="0C1069CD"/>
    <w:rsid w:val="0C9D6584"/>
    <w:rsid w:val="0CA8315E"/>
    <w:rsid w:val="0D690A8B"/>
    <w:rsid w:val="0E103FD3"/>
    <w:rsid w:val="0EAD3DD2"/>
    <w:rsid w:val="0FD06B9F"/>
    <w:rsid w:val="139C0810"/>
    <w:rsid w:val="13E71457"/>
    <w:rsid w:val="13F310AE"/>
    <w:rsid w:val="15834AAE"/>
    <w:rsid w:val="168662A0"/>
    <w:rsid w:val="18614569"/>
    <w:rsid w:val="194D3125"/>
    <w:rsid w:val="1C1F5136"/>
    <w:rsid w:val="1C5F3784"/>
    <w:rsid w:val="1C816441"/>
    <w:rsid w:val="1DF61266"/>
    <w:rsid w:val="205B24B5"/>
    <w:rsid w:val="20C7718D"/>
    <w:rsid w:val="215A573B"/>
    <w:rsid w:val="23454307"/>
    <w:rsid w:val="234D1185"/>
    <w:rsid w:val="2527505B"/>
    <w:rsid w:val="27CD11D7"/>
    <w:rsid w:val="28502CBF"/>
    <w:rsid w:val="2B2701BA"/>
    <w:rsid w:val="2DB94CBF"/>
    <w:rsid w:val="2EB70C04"/>
    <w:rsid w:val="31C05F3E"/>
    <w:rsid w:val="32C7267A"/>
    <w:rsid w:val="33AE5C26"/>
    <w:rsid w:val="346B4DE4"/>
    <w:rsid w:val="359F29EC"/>
    <w:rsid w:val="385775AE"/>
    <w:rsid w:val="38FA68B7"/>
    <w:rsid w:val="391D4882"/>
    <w:rsid w:val="3A7E52C6"/>
    <w:rsid w:val="3B0F3C6F"/>
    <w:rsid w:val="3C8446EA"/>
    <w:rsid w:val="3DC80E72"/>
    <w:rsid w:val="3F072B57"/>
    <w:rsid w:val="3F4D13A7"/>
    <w:rsid w:val="3F6E3B5B"/>
    <w:rsid w:val="3F9C4DCF"/>
    <w:rsid w:val="40E340D5"/>
    <w:rsid w:val="417E5FD2"/>
    <w:rsid w:val="421A1CAA"/>
    <w:rsid w:val="4267543F"/>
    <w:rsid w:val="42962151"/>
    <w:rsid w:val="443B3381"/>
    <w:rsid w:val="4442268F"/>
    <w:rsid w:val="44B42A81"/>
    <w:rsid w:val="46222FA9"/>
    <w:rsid w:val="4950138E"/>
    <w:rsid w:val="4AB443EC"/>
    <w:rsid w:val="4B27088C"/>
    <w:rsid w:val="4E54216E"/>
    <w:rsid w:val="4E5E024C"/>
    <w:rsid w:val="4EF6099B"/>
    <w:rsid w:val="50597995"/>
    <w:rsid w:val="51B977CF"/>
    <w:rsid w:val="51CA29AA"/>
    <w:rsid w:val="54DA57CA"/>
    <w:rsid w:val="55DC49AD"/>
    <w:rsid w:val="56186177"/>
    <w:rsid w:val="59404D37"/>
    <w:rsid w:val="5A0501C1"/>
    <w:rsid w:val="61A862C9"/>
    <w:rsid w:val="62CB1F95"/>
    <w:rsid w:val="62F24963"/>
    <w:rsid w:val="66690385"/>
    <w:rsid w:val="668A7D54"/>
    <w:rsid w:val="6B2A0087"/>
    <w:rsid w:val="6DBC6071"/>
    <w:rsid w:val="6DED6237"/>
    <w:rsid w:val="6DF34077"/>
    <w:rsid w:val="6E5C0E9F"/>
    <w:rsid w:val="6F663AAA"/>
    <w:rsid w:val="6F685621"/>
    <w:rsid w:val="709B4222"/>
    <w:rsid w:val="71D4161F"/>
    <w:rsid w:val="72D746F5"/>
    <w:rsid w:val="73B74401"/>
    <w:rsid w:val="745B3B4F"/>
    <w:rsid w:val="74FC3A67"/>
    <w:rsid w:val="785D5F3F"/>
    <w:rsid w:val="78BF0782"/>
    <w:rsid w:val="79324545"/>
    <w:rsid w:val="7C5D5255"/>
    <w:rsid w:val="7C7A337C"/>
    <w:rsid w:val="7CC92FB9"/>
    <w:rsid w:val="7CD61CB4"/>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23"/>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4"/>
    <w:qFormat/>
    <w:uiPriority w:val="99"/>
    <w:pPr>
      <w:keepNext/>
      <w:keepLines/>
      <w:spacing w:before="260" w:after="260" w:line="416" w:lineRule="auto"/>
      <w:outlineLvl w:val="2"/>
    </w:pPr>
    <w:rPr>
      <w:b/>
      <w:bCs/>
      <w:sz w:val="32"/>
      <w:szCs w:val="32"/>
    </w:rPr>
  </w:style>
  <w:style w:type="paragraph" w:styleId="5">
    <w:name w:val="heading 4"/>
    <w:basedOn w:val="1"/>
    <w:next w:val="1"/>
    <w:link w:val="25"/>
    <w:qFormat/>
    <w:uiPriority w:val="99"/>
    <w:pPr>
      <w:keepNext/>
      <w:keepLines/>
      <w:spacing w:before="280" w:after="290" w:line="376" w:lineRule="auto"/>
      <w:outlineLvl w:val="3"/>
    </w:pPr>
    <w:rPr>
      <w:rFonts w:ascii="Cambria" w:hAnsi="Cambria"/>
      <w:b/>
      <w:bCs/>
      <w:sz w:val="28"/>
      <w:szCs w:val="28"/>
    </w:rPr>
  </w:style>
  <w:style w:type="character" w:default="1" w:styleId="18">
    <w:name w:val="Default Paragraph Font"/>
    <w:semiHidden/>
    <w:qFormat/>
    <w:uiPriority w:val="99"/>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6">
    <w:name w:val="toc 7"/>
    <w:basedOn w:val="1"/>
    <w:next w:val="1"/>
    <w:qFormat/>
    <w:uiPriority w:val="99"/>
    <w:pPr>
      <w:ind w:left="1260"/>
      <w:jc w:val="left"/>
    </w:pPr>
    <w:rPr>
      <w:sz w:val="20"/>
      <w:szCs w:val="20"/>
    </w:rPr>
  </w:style>
  <w:style w:type="paragraph" w:styleId="7">
    <w:name w:val="Document Map"/>
    <w:basedOn w:val="1"/>
    <w:link w:val="26"/>
    <w:qFormat/>
    <w:uiPriority w:val="99"/>
    <w:pPr>
      <w:shd w:val="clear" w:color="auto" w:fill="000080"/>
    </w:pPr>
  </w:style>
  <w:style w:type="paragraph" w:styleId="8">
    <w:name w:val="toc 5"/>
    <w:basedOn w:val="1"/>
    <w:next w:val="1"/>
    <w:qFormat/>
    <w:uiPriority w:val="99"/>
    <w:pPr>
      <w:ind w:left="840"/>
      <w:jc w:val="left"/>
    </w:pPr>
    <w:rPr>
      <w:sz w:val="20"/>
      <w:szCs w:val="20"/>
    </w:rPr>
  </w:style>
  <w:style w:type="paragraph" w:styleId="9">
    <w:name w:val="toc 3"/>
    <w:basedOn w:val="1"/>
    <w:next w:val="1"/>
    <w:qFormat/>
    <w:uiPriority w:val="99"/>
    <w:pPr>
      <w:adjustRightInd w:val="0"/>
      <w:snapToGrid w:val="0"/>
      <w:spacing w:line="360" w:lineRule="auto"/>
      <w:ind w:firstLine="400" w:firstLineChars="400"/>
      <w:jc w:val="left"/>
    </w:pPr>
    <w:rPr>
      <w:sz w:val="24"/>
      <w:szCs w:val="20"/>
    </w:rPr>
  </w:style>
  <w:style w:type="paragraph" w:styleId="10">
    <w:name w:val="toc 8"/>
    <w:basedOn w:val="1"/>
    <w:next w:val="1"/>
    <w:qFormat/>
    <w:uiPriority w:val="99"/>
    <w:pPr>
      <w:ind w:left="1470"/>
      <w:jc w:val="left"/>
    </w:pPr>
    <w:rPr>
      <w:sz w:val="20"/>
      <w:szCs w:val="20"/>
    </w:rPr>
  </w:style>
  <w:style w:type="paragraph" w:styleId="11">
    <w:name w:val="footer"/>
    <w:basedOn w:val="1"/>
    <w:link w:val="27"/>
    <w:qFormat/>
    <w:uiPriority w:val="99"/>
    <w:pPr>
      <w:tabs>
        <w:tab w:val="center" w:pos="4153"/>
        <w:tab w:val="right" w:pos="8306"/>
      </w:tabs>
      <w:snapToGrid w:val="0"/>
      <w:jc w:val="left"/>
    </w:pPr>
    <w:rPr>
      <w:sz w:val="18"/>
      <w:szCs w:val="18"/>
    </w:rPr>
  </w:style>
  <w:style w:type="paragraph" w:styleId="12">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99"/>
    <w:pPr>
      <w:adjustRightInd w:val="0"/>
      <w:snapToGrid w:val="0"/>
      <w:spacing w:line="360" w:lineRule="auto"/>
      <w:jc w:val="left"/>
    </w:pPr>
    <w:rPr>
      <w:b/>
      <w:bCs/>
      <w:sz w:val="24"/>
      <w:szCs w:val="20"/>
    </w:rPr>
  </w:style>
  <w:style w:type="paragraph" w:styleId="14">
    <w:name w:val="toc 4"/>
    <w:basedOn w:val="1"/>
    <w:next w:val="1"/>
    <w:qFormat/>
    <w:uiPriority w:val="99"/>
    <w:pPr>
      <w:ind w:left="630"/>
      <w:jc w:val="left"/>
    </w:pPr>
    <w:rPr>
      <w:sz w:val="20"/>
      <w:szCs w:val="20"/>
    </w:rPr>
  </w:style>
  <w:style w:type="paragraph" w:styleId="15">
    <w:name w:val="toc 6"/>
    <w:basedOn w:val="1"/>
    <w:next w:val="1"/>
    <w:qFormat/>
    <w:uiPriority w:val="99"/>
    <w:pPr>
      <w:ind w:left="1050"/>
      <w:jc w:val="left"/>
    </w:pPr>
    <w:rPr>
      <w:sz w:val="20"/>
      <w:szCs w:val="20"/>
    </w:rPr>
  </w:style>
  <w:style w:type="paragraph" w:styleId="16">
    <w:name w:val="toc 2"/>
    <w:basedOn w:val="1"/>
    <w:next w:val="1"/>
    <w:qFormat/>
    <w:uiPriority w:val="99"/>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99"/>
    <w:pPr>
      <w:ind w:left="1680"/>
      <w:jc w:val="left"/>
    </w:pPr>
    <w:rPr>
      <w:sz w:val="20"/>
      <w:szCs w:val="20"/>
    </w:rPr>
  </w:style>
  <w:style w:type="character" w:styleId="19">
    <w:name w:val="page number"/>
    <w:basedOn w:val="18"/>
    <w:qFormat/>
    <w:uiPriority w:val="99"/>
    <w:rPr>
      <w:rFonts w:cs="Times New Roman"/>
    </w:rPr>
  </w:style>
  <w:style w:type="character" w:styleId="20">
    <w:name w:val="Hyperlink"/>
    <w:basedOn w:val="18"/>
    <w:qFormat/>
    <w:uiPriority w:val="99"/>
    <w:rPr>
      <w:rFonts w:cs="Times New Roman"/>
      <w:color w:val="0000FF"/>
      <w:u w:val="single"/>
    </w:rPr>
  </w:style>
  <w:style w:type="character" w:customStyle="1" w:styleId="22">
    <w:name w:val="Heading 1 Char"/>
    <w:basedOn w:val="18"/>
    <w:link w:val="2"/>
    <w:qFormat/>
    <w:locked/>
    <w:uiPriority w:val="99"/>
    <w:rPr>
      <w:rFonts w:cs="Times New Roman"/>
      <w:b/>
      <w:bCs/>
      <w:kern w:val="44"/>
      <w:sz w:val="44"/>
      <w:szCs w:val="44"/>
    </w:rPr>
  </w:style>
  <w:style w:type="character" w:customStyle="1" w:styleId="23">
    <w:name w:val="Heading 2 Char"/>
    <w:basedOn w:val="18"/>
    <w:link w:val="3"/>
    <w:semiHidden/>
    <w:qFormat/>
    <w:locked/>
    <w:uiPriority w:val="99"/>
    <w:rPr>
      <w:rFonts w:ascii="Cambria" w:hAnsi="Cambria" w:eastAsia="宋体" w:cs="Times New Roman"/>
      <w:b/>
      <w:bCs/>
      <w:sz w:val="32"/>
      <w:szCs w:val="32"/>
    </w:rPr>
  </w:style>
  <w:style w:type="character" w:customStyle="1" w:styleId="24">
    <w:name w:val="Heading 3 Char"/>
    <w:basedOn w:val="18"/>
    <w:link w:val="4"/>
    <w:qFormat/>
    <w:locked/>
    <w:uiPriority w:val="99"/>
    <w:rPr>
      <w:rFonts w:cs="Times New Roman"/>
      <w:b/>
      <w:bCs/>
      <w:kern w:val="2"/>
      <w:sz w:val="32"/>
      <w:szCs w:val="32"/>
    </w:rPr>
  </w:style>
  <w:style w:type="character" w:customStyle="1" w:styleId="25">
    <w:name w:val="Heading 4 Char"/>
    <w:basedOn w:val="18"/>
    <w:link w:val="5"/>
    <w:qFormat/>
    <w:locked/>
    <w:uiPriority w:val="99"/>
    <w:rPr>
      <w:rFonts w:ascii="Cambria" w:hAnsi="Cambria" w:cs="Times New Roman"/>
      <w:b/>
      <w:bCs/>
      <w:kern w:val="2"/>
      <w:sz w:val="28"/>
      <w:szCs w:val="28"/>
    </w:rPr>
  </w:style>
  <w:style w:type="character" w:customStyle="1" w:styleId="26">
    <w:name w:val="Document Map Char"/>
    <w:basedOn w:val="18"/>
    <w:link w:val="7"/>
    <w:semiHidden/>
    <w:qFormat/>
    <w:locked/>
    <w:uiPriority w:val="99"/>
    <w:rPr>
      <w:rFonts w:cs="Times New Roman"/>
      <w:sz w:val="2"/>
    </w:rPr>
  </w:style>
  <w:style w:type="character" w:customStyle="1" w:styleId="27">
    <w:name w:val="Footer Char"/>
    <w:basedOn w:val="18"/>
    <w:link w:val="11"/>
    <w:qFormat/>
    <w:locked/>
    <w:uiPriority w:val="99"/>
    <w:rPr>
      <w:rFonts w:cs="Times New Roman"/>
      <w:kern w:val="2"/>
      <w:sz w:val="18"/>
      <w:szCs w:val="18"/>
    </w:rPr>
  </w:style>
  <w:style w:type="character" w:customStyle="1" w:styleId="28">
    <w:name w:val="Header Char"/>
    <w:basedOn w:val="18"/>
    <w:link w:val="12"/>
    <w:semiHidden/>
    <w:qFormat/>
    <w:locked/>
    <w:uiPriority w:val="99"/>
    <w:rPr>
      <w:rFonts w:cs="Times New Roman"/>
      <w:sz w:val="18"/>
      <w:szCs w:val="18"/>
    </w:rPr>
  </w:style>
  <w:style w:type="paragraph" w:customStyle="1" w:styleId="29">
    <w:name w:val="No Spacing"/>
    <w:link w:val="30"/>
    <w:qFormat/>
    <w:uiPriority w:val="99"/>
    <w:pPr>
      <w:ind w:firstLine="200" w:firstLineChars="200"/>
    </w:pPr>
    <w:rPr>
      <w:rFonts w:ascii="Times New Roman" w:hAnsi="Times New Roman" w:eastAsia="仿宋_GB2312" w:cs="Times New Roman"/>
      <w:kern w:val="0"/>
      <w:sz w:val="22"/>
      <w:szCs w:val="20"/>
      <w:lang w:val="en-US" w:eastAsia="zh-CN" w:bidi="ar-SA"/>
    </w:rPr>
  </w:style>
  <w:style w:type="character" w:customStyle="1" w:styleId="30">
    <w:name w:val="No Spacing Char"/>
    <w:link w:val="29"/>
    <w:qFormat/>
    <w:locked/>
    <w:uiPriority w:val="99"/>
    <w:rPr>
      <w:rFonts w:eastAsia="仿宋_GB2312"/>
      <w:sz w:val="22"/>
    </w:rPr>
  </w:style>
  <w:style w:type="paragraph" w:customStyle="1" w:styleId="31">
    <w:name w:val="List Paragraph"/>
    <w:basedOn w:val="1"/>
    <w:qFormat/>
    <w:uiPriority w:val="99"/>
    <w:pPr>
      <w:ind w:firstLine="420" w:firstLineChars="200"/>
    </w:pPr>
  </w:style>
  <w:style w:type="character" w:customStyle="1" w:styleId="32">
    <w:name w:val="font31"/>
    <w:basedOn w:val="18"/>
    <w:qFormat/>
    <w:uiPriority w:val="99"/>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9</Pages>
  <Words>6338</Words>
  <Characters>7401</Characters>
  <Lines>0</Lines>
  <Paragraphs>0</Paragraphs>
  <TotalTime>0</TotalTime>
  <ScaleCrop>false</ScaleCrop>
  <LinksUpToDate>false</LinksUpToDate>
  <CharactersWithSpaces>7541</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2023-01-19T05:13:00Z</dcterms:created>
  <dc:creator>Administrator</dc:creator>
  <cp:lastModifiedBy>Administrator</cp:lastModifiedBy>
  <cp:lastPrinted>2021-04-16T00:45:00Z</cp:lastPrinted>
  <dcterms:modified xsi:type="dcterms:W3CDTF">2023-02-06T06:37:20Z</dcterms:modified>
  <dc:title>××年度××部门/单位</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y fmtid="{D5CDD505-2E9C-101B-9397-08002B2CF9AE}" pid="3" name="ICV">
    <vt:lpwstr>20C860336FA94A4A99A06FA41879ED93</vt:lpwstr>
  </property>
</Properties>
</file>